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2022年柳南区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违法违规医保广告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集中整治情况统计表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43" w:firstLineChars="3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ascii="Times New Roman" w:hAnsi="Times New Roman" w:eastAsia="仿宋_GB2312"/>
          <w:sz w:val="28"/>
          <w:szCs w:val="28"/>
        </w:rPr>
        <w:t>填报时间：    年   月   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清理违法违规医保广告牌（块）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清理违法违规墙医保小广告牌（处）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清理“医保套现”车身广告（辆）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清理“医保套现”餐饮广告（家）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r>
        <w:rPr>
          <w:rFonts w:ascii="Times New Roman" w:hAnsi="Times New Roman" w:eastAsia="仿宋_GB2312"/>
          <w:b/>
          <w:bCs/>
          <w:sz w:val="28"/>
          <w:szCs w:val="28"/>
        </w:rPr>
        <w:t>填报人：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ascii="Times New Roman" w:hAnsi="Times New Roman" w:eastAsia="仿宋_GB2312"/>
          <w:b/>
          <w:bCs/>
          <w:sz w:val="28"/>
          <w:szCs w:val="28"/>
        </w:rPr>
        <w:t>联系方式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B3941"/>
    <w:rsid w:val="5F2F2A72"/>
    <w:rsid w:val="6AC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unhideWhenUsed/>
    <w:qFormat/>
    <w:uiPriority w:val="99"/>
    <w:rPr>
      <w:rFonts w:ascii="Times New Roman" w:hAnsi="Times New Roman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2019-12-12T01:29:00Z</dcterms:created>
  <dc:creator>Lenovo</dc:creator>
  <cp:lastModifiedBy>Lenovo</cp:lastModifiedBy>
  <dcterms:modified xsi:type="dcterms:W3CDTF">2022-04-13T02:30:34Z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8B8930F7DCE442C5B0D325A56153A21A</vt:lpwstr>
  </property>
</Properties>
</file>