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4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spacing w:line="240" w:lineRule="auto"/>
        <w:ind w:firstLine="0" w:firstLineChars="0"/>
        <w:jc w:val="center"/>
        <w:rPr>
          <w:rFonts w:eastAsia="Arial Unicode MS"/>
          <w:sz w:val="52"/>
          <w:szCs w:val="52"/>
        </w:rPr>
      </w:pPr>
      <w:r>
        <w:rPr>
          <w:rFonts w:hint="eastAsia" w:eastAsia="Arial Unicode MS"/>
          <w:sz w:val="52"/>
          <w:szCs w:val="52"/>
        </w:rPr>
        <w:t>柳州市柳南区农业农村现代化发展</w:t>
      </w:r>
    </w:p>
    <w:p>
      <w:pPr>
        <w:spacing w:line="240" w:lineRule="auto"/>
        <w:ind w:firstLine="0" w:firstLineChars="0"/>
        <w:jc w:val="center"/>
        <w:rPr>
          <w:rFonts w:eastAsia="Arial Unicode MS"/>
          <w:sz w:val="52"/>
          <w:szCs w:val="52"/>
        </w:rPr>
      </w:pPr>
      <w:r>
        <w:rPr>
          <w:rFonts w:hint="eastAsia" w:eastAsia="Arial Unicode MS"/>
          <w:sz w:val="52"/>
          <w:szCs w:val="52"/>
        </w:rPr>
        <w:t>及特色产业规划</w:t>
      </w:r>
    </w:p>
    <w:p>
      <w:pPr>
        <w:ind w:firstLine="0" w:firstLineChars="0"/>
        <w:jc w:val="center"/>
        <w:rPr>
          <w:rFonts w:eastAsia="Arial Unicode MS"/>
          <w:sz w:val="44"/>
          <w:szCs w:val="44"/>
        </w:rPr>
      </w:pPr>
    </w:p>
    <w:p>
      <w:pPr>
        <w:ind w:firstLine="0" w:firstLineChars="0"/>
        <w:jc w:val="center"/>
        <w:rPr>
          <w:rFonts w:eastAsia="Arial Unicode MS"/>
          <w:sz w:val="44"/>
          <w:szCs w:val="44"/>
        </w:rPr>
      </w:pPr>
      <w:r>
        <w:rPr>
          <w:rFonts w:hint="eastAsia" w:eastAsia="Arial Unicode MS"/>
          <w:sz w:val="44"/>
          <w:szCs w:val="44"/>
        </w:rPr>
        <w:t>（</w:t>
      </w:r>
      <w:r>
        <w:rPr>
          <w:rFonts w:eastAsia="Arial Unicode MS"/>
          <w:sz w:val="44"/>
          <w:szCs w:val="44"/>
        </w:rPr>
        <w:t>2022</w:t>
      </w:r>
      <w:r>
        <w:rPr>
          <w:rFonts w:hint="eastAsia" w:eastAsia="Arial Unicode MS"/>
          <w:sz w:val="44"/>
          <w:szCs w:val="44"/>
        </w:rPr>
        <w:t>—</w:t>
      </w:r>
      <w:r>
        <w:rPr>
          <w:rFonts w:eastAsia="Arial Unicode MS"/>
          <w:sz w:val="44"/>
          <w:szCs w:val="44"/>
        </w:rPr>
        <w:t>2025</w:t>
      </w:r>
      <w:r>
        <w:rPr>
          <w:rFonts w:hint="eastAsia" w:eastAsia="Arial Unicode MS"/>
          <w:sz w:val="44"/>
          <w:szCs w:val="44"/>
        </w:rPr>
        <w:t>年）</w:t>
      </w:r>
    </w:p>
    <w:p>
      <w:pPr>
        <w:ind w:firstLine="0" w:firstLineChars="0"/>
        <w:jc w:val="center"/>
        <w:rPr>
          <w:rFonts w:eastAsia="Arial Unicode MS"/>
          <w:sz w:val="44"/>
          <w:szCs w:val="44"/>
        </w:rPr>
      </w:pPr>
    </w:p>
    <w:p>
      <w:pPr>
        <w:ind w:firstLine="0" w:firstLineChars="0"/>
        <w:jc w:val="center"/>
        <w:rPr>
          <w:rFonts w:eastAsia="Arial Unicode MS"/>
          <w:sz w:val="44"/>
          <w:szCs w:val="44"/>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rPr>
          <w:rFonts w:eastAsia="Arial Unicode MS"/>
          <w:sz w:val="52"/>
          <w:szCs w:val="52"/>
        </w:rPr>
      </w:pPr>
    </w:p>
    <w:p>
      <w:pPr>
        <w:ind w:firstLine="0" w:firstLineChars="0"/>
        <w:jc w:val="center"/>
        <w:rPr>
          <w:rFonts w:eastAsia="Arial Unicode MS"/>
          <w:color w:val="000000"/>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287" w:bottom="1440" w:left="1588" w:header="851" w:footer="992" w:gutter="0"/>
          <w:cols w:space="720" w:num="1"/>
          <w:docGrid w:type="lines" w:linePitch="435" w:charSpace="0"/>
        </w:sectPr>
      </w:pPr>
      <w:r>
        <w:rPr>
          <w:rFonts w:eastAsia="Arial Unicode MS"/>
          <w:color w:val="000000"/>
          <w:sz w:val="36"/>
          <w:szCs w:val="36"/>
        </w:rPr>
        <w:t>2022</w:t>
      </w:r>
      <w:r>
        <w:rPr>
          <w:rFonts w:hint="eastAsia" w:eastAsia="Arial Unicode MS"/>
          <w:color w:val="000000"/>
          <w:sz w:val="36"/>
          <w:szCs w:val="36"/>
        </w:rPr>
        <w:t>年</w:t>
      </w:r>
    </w:p>
    <w:p>
      <w:pPr>
        <w:widowControl/>
        <w:ind w:firstLine="198" w:firstLineChars="62"/>
        <w:jc w:val="left"/>
        <w:rPr>
          <w:szCs w:val="32"/>
        </w:rPr>
      </w:pPr>
      <w:r>
        <w:rPr>
          <w:rFonts w:hint="eastAsia" w:eastAsia="黑体"/>
          <w:bCs/>
          <w:szCs w:val="32"/>
        </w:rPr>
        <w:t>项目名称：</w:t>
      </w:r>
      <w:bookmarkStart w:id="0" w:name="_Hlk154138826"/>
      <w:r>
        <w:rPr>
          <w:rFonts w:hint="eastAsia"/>
          <w:szCs w:val="32"/>
        </w:rPr>
        <w:t>柳州市柳南区农业农村现代化发展及特色产业规划</w:t>
      </w:r>
      <w:bookmarkEnd w:id="0"/>
    </w:p>
    <w:p>
      <w:pPr>
        <w:widowControl/>
        <w:ind w:firstLine="198" w:firstLineChars="62"/>
        <w:jc w:val="left"/>
        <w:rPr>
          <w:szCs w:val="32"/>
        </w:rPr>
      </w:pPr>
      <w:r>
        <w:rPr>
          <w:rFonts w:hint="eastAsia" w:eastAsia="黑体"/>
          <w:bCs/>
          <w:szCs w:val="32"/>
        </w:rPr>
        <w:t>委托单位：</w:t>
      </w:r>
      <w:bookmarkStart w:id="1" w:name="_Hlk150598465"/>
      <w:r>
        <w:rPr>
          <w:rFonts w:hint="eastAsia"/>
          <w:szCs w:val="32"/>
        </w:rPr>
        <w:t>柳州市柳南区农业农村局</w:t>
      </w:r>
      <w:bookmarkEnd w:id="1"/>
    </w:p>
    <w:p>
      <w:pPr>
        <w:widowControl/>
        <w:ind w:firstLine="198" w:firstLineChars="62"/>
        <w:jc w:val="left"/>
        <w:rPr>
          <w:szCs w:val="32"/>
        </w:rPr>
      </w:pPr>
      <w:r>
        <w:rPr>
          <w:rFonts w:hint="eastAsia" w:eastAsia="黑体"/>
          <w:bCs/>
          <w:szCs w:val="32"/>
        </w:rPr>
        <w:t>编制单位：</w:t>
      </w:r>
      <w:r>
        <w:rPr>
          <w:rFonts w:hint="eastAsia"/>
          <w:szCs w:val="32"/>
        </w:rPr>
        <w:t>广西陌凡规划设计有限公司</w:t>
      </w:r>
    </w:p>
    <w:p>
      <w:pPr>
        <w:widowControl/>
        <w:ind w:firstLine="640"/>
        <w:jc w:val="left"/>
        <w:rPr>
          <w:szCs w:val="32"/>
        </w:rPr>
      </w:pPr>
    </w:p>
    <w:p>
      <w:pPr>
        <w:spacing w:line="520" w:lineRule="exact"/>
        <w:ind w:firstLine="198" w:firstLineChars="62"/>
        <w:jc w:val="left"/>
        <w:rPr>
          <w:szCs w:val="32"/>
        </w:rPr>
      </w:pPr>
      <w:r>
        <w:rPr>
          <w:rFonts w:hint="eastAsia" w:eastAsia="黑体"/>
          <w:bCs/>
          <w:szCs w:val="32"/>
        </w:rPr>
        <w:t>项目审定人：</w:t>
      </w:r>
      <w:r>
        <w:rPr>
          <w:rFonts w:hint="eastAsia" w:cs="Times New Roman Regular"/>
          <w:szCs w:val="32"/>
        </w:rPr>
        <w:t>杨</w:t>
      </w:r>
      <w:r>
        <w:rPr>
          <w:szCs w:val="32"/>
        </w:rPr>
        <w:t xml:space="preserve">  </w:t>
      </w:r>
      <w:r>
        <w:rPr>
          <w:rFonts w:hint="eastAsia" w:cs="Times New Roman Regular"/>
          <w:szCs w:val="32"/>
        </w:rPr>
        <w:t xml:space="preserve">婧 </w:t>
      </w:r>
      <w:r>
        <w:rPr>
          <w:rFonts w:hint="eastAsia"/>
          <w:szCs w:val="32"/>
        </w:rPr>
        <w:t xml:space="preserve"> </w:t>
      </w:r>
      <w:r>
        <w:rPr>
          <w:rFonts w:hint="eastAsia" w:cs="Times New Roman Regular"/>
          <w:szCs w:val="32"/>
        </w:rPr>
        <w:t>副教授</w:t>
      </w:r>
    </w:p>
    <w:p>
      <w:pPr>
        <w:spacing w:line="520" w:lineRule="exact"/>
        <w:ind w:firstLine="198" w:firstLineChars="62"/>
        <w:jc w:val="left"/>
        <w:rPr>
          <w:szCs w:val="32"/>
        </w:rPr>
      </w:pPr>
      <w:r>
        <w:rPr>
          <w:rFonts w:hint="eastAsia" w:eastAsia="黑体"/>
          <w:bCs/>
          <w:szCs w:val="32"/>
        </w:rPr>
        <w:t>项目负责人：</w:t>
      </w:r>
      <w:r>
        <w:rPr>
          <w:rFonts w:hint="eastAsia"/>
          <w:szCs w:val="32"/>
        </w:rPr>
        <w:t>罗苏杰  工程师</w:t>
      </w:r>
    </w:p>
    <w:p>
      <w:pPr>
        <w:spacing w:line="520" w:lineRule="exact"/>
        <w:ind w:firstLine="198" w:firstLineChars="62"/>
        <w:jc w:val="left"/>
        <w:rPr>
          <w:rFonts w:eastAsia="黑体"/>
          <w:bCs/>
          <w:szCs w:val="32"/>
        </w:rPr>
      </w:pPr>
      <w:r>
        <w:rPr>
          <w:rFonts w:hint="eastAsia" w:eastAsia="黑体"/>
          <w:bCs/>
          <w:szCs w:val="32"/>
        </w:rPr>
        <w:t>项目</w:t>
      </w:r>
      <w:bookmarkStart w:id="2" w:name="_Hlk118301631"/>
      <w:r>
        <w:rPr>
          <w:rFonts w:hint="eastAsia" w:eastAsia="黑体"/>
          <w:bCs/>
          <w:szCs w:val="32"/>
        </w:rPr>
        <w:t>编制人员</w:t>
      </w:r>
      <w:bookmarkEnd w:id="2"/>
      <w:r>
        <w:rPr>
          <w:rFonts w:hint="eastAsia" w:eastAsia="黑体"/>
          <w:bCs/>
          <w:szCs w:val="32"/>
        </w:rPr>
        <w:t>：</w:t>
      </w:r>
    </w:p>
    <w:p>
      <w:pPr>
        <w:spacing w:line="520" w:lineRule="exact"/>
        <w:ind w:firstLine="960" w:firstLineChars="300"/>
        <w:jc w:val="left"/>
        <w:rPr>
          <w:szCs w:val="32"/>
        </w:rPr>
      </w:pPr>
      <w:r>
        <w:rPr>
          <w:rFonts w:hint="eastAsia"/>
          <w:szCs w:val="32"/>
        </w:rPr>
        <w:t>赵</w:t>
      </w:r>
      <w:r>
        <w:rPr>
          <w:szCs w:val="32"/>
        </w:rPr>
        <w:t xml:space="preserve">  </w:t>
      </w:r>
      <w:r>
        <w:rPr>
          <w:rFonts w:hint="eastAsia"/>
          <w:szCs w:val="32"/>
        </w:rPr>
        <w:t>婷  工程师</w:t>
      </w:r>
      <w:r>
        <w:rPr>
          <w:szCs w:val="32"/>
        </w:rPr>
        <w:t xml:space="preserve"> </w:t>
      </w:r>
      <w:r>
        <w:rPr>
          <w:rFonts w:hint="eastAsia"/>
          <w:szCs w:val="32"/>
          <w:lang w:val="en-US" w:eastAsia="zh-CN"/>
        </w:rPr>
        <w:t xml:space="preserve">           </w:t>
      </w:r>
      <w:r>
        <w:rPr>
          <w:rFonts w:hint="eastAsia"/>
          <w:szCs w:val="32"/>
        </w:rPr>
        <w:t>谢其林  工程师</w:t>
      </w:r>
    </w:p>
    <w:p>
      <w:pPr>
        <w:spacing w:line="520" w:lineRule="exact"/>
        <w:ind w:firstLine="960" w:firstLineChars="300"/>
        <w:jc w:val="left"/>
        <w:rPr>
          <w:szCs w:val="32"/>
        </w:rPr>
      </w:pPr>
      <w:r>
        <w:rPr>
          <w:rFonts w:hint="eastAsia"/>
          <w:szCs w:val="32"/>
        </w:rPr>
        <w:t>陈玉艳  城乡规划师</w:t>
      </w:r>
      <w:r>
        <w:rPr>
          <w:rFonts w:hint="eastAsia"/>
          <w:szCs w:val="32"/>
          <w:lang w:val="en-US" w:eastAsia="zh-CN"/>
        </w:rPr>
        <w:t xml:space="preserve">        </w:t>
      </w:r>
      <w:r>
        <w:rPr>
          <w:rFonts w:hint="eastAsia"/>
          <w:szCs w:val="32"/>
        </w:rPr>
        <w:t>肖理方  助理工程师</w:t>
      </w:r>
    </w:p>
    <w:p>
      <w:pPr>
        <w:spacing w:line="520" w:lineRule="exact"/>
        <w:ind w:firstLine="960" w:firstLineChars="300"/>
        <w:jc w:val="left"/>
        <w:rPr>
          <w:szCs w:val="32"/>
        </w:rPr>
      </w:pPr>
      <w:r>
        <w:rPr>
          <w:rFonts w:hint="eastAsia"/>
          <w:szCs w:val="32"/>
        </w:rPr>
        <w:t>韦如玉  助理工程师</w:t>
      </w:r>
      <w:r>
        <w:rPr>
          <w:rFonts w:hint="eastAsia"/>
          <w:szCs w:val="32"/>
          <w:lang w:val="en-US" w:eastAsia="zh-CN"/>
        </w:rPr>
        <w:t xml:space="preserve">        </w:t>
      </w:r>
      <w:r>
        <w:rPr>
          <w:rFonts w:hint="eastAsia"/>
          <w:szCs w:val="32"/>
        </w:rPr>
        <w:t>吕金祥  助理工程师</w:t>
      </w:r>
    </w:p>
    <w:p>
      <w:pPr>
        <w:spacing w:line="520" w:lineRule="exact"/>
        <w:ind w:firstLine="198" w:firstLineChars="62"/>
        <w:jc w:val="left"/>
        <w:rPr>
          <w:rFonts w:eastAsia="黑体"/>
          <w:bCs/>
          <w:szCs w:val="32"/>
        </w:rPr>
      </w:pPr>
      <w:r>
        <w:rPr>
          <w:rFonts w:hint="eastAsia" w:eastAsia="黑体"/>
          <w:bCs/>
          <w:szCs w:val="32"/>
        </w:rPr>
        <w:t>柳州市柳南区参与编制人员：</w:t>
      </w:r>
    </w:p>
    <w:p>
      <w:pPr>
        <w:spacing w:line="520" w:lineRule="exact"/>
        <w:ind w:left="0" w:leftChars="0" w:firstLine="960" w:firstLineChars="300"/>
        <w:jc w:val="left"/>
        <w:rPr>
          <w:szCs w:val="32"/>
        </w:rPr>
      </w:pPr>
      <w:r>
        <w:rPr>
          <w:rFonts w:hint="eastAsia"/>
          <w:szCs w:val="32"/>
        </w:rPr>
        <w:t xml:space="preserve">唐丹萍  高级畜牧师  </w:t>
      </w:r>
      <w:r>
        <w:rPr>
          <w:rFonts w:hint="eastAsia"/>
          <w:szCs w:val="32"/>
          <w:lang w:val="en-US" w:eastAsia="zh-CN"/>
        </w:rPr>
        <w:t xml:space="preserve">      </w:t>
      </w:r>
      <w:r>
        <w:rPr>
          <w:rFonts w:hint="eastAsia"/>
          <w:szCs w:val="32"/>
        </w:rPr>
        <w:t xml:space="preserve">陈 </w:t>
      </w:r>
      <w:r>
        <w:rPr>
          <w:szCs w:val="32"/>
        </w:rPr>
        <w:t xml:space="preserve"> </w:t>
      </w:r>
      <w:r>
        <w:rPr>
          <w:rFonts w:hint="eastAsia"/>
          <w:szCs w:val="32"/>
        </w:rPr>
        <w:t xml:space="preserve">健 </w:t>
      </w:r>
      <w:r>
        <w:rPr>
          <w:szCs w:val="32"/>
        </w:rPr>
        <w:t xml:space="preserve"> </w:t>
      </w:r>
      <w:r>
        <w:rPr>
          <w:rFonts w:hint="eastAsia"/>
          <w:szCs w:val="32"/>
        </w:rPr>
        <w:t>高级畜牧师</w:t>
      </w:r>
    </w:p>
    <w:p>
      <w:pPr>
        <w:spacing w:line="520" w:lineRule="exact"/>
        <w:ind w:left="960" w:leftChars="300" w:firstLine="0" w:firstLineChars="0"/>
        <w:jc w:val="left"/>
        <w:rPr>
          <w:szCs w:val="32"/>
        </w:rPr>
      </w:pPr>
      <w:r>
        <w:rPr>
          <w:rFonts w:hint="eastAsia" w:ascii="Times New Roman" w:hAnsi="Times New Roman" w:eastAsia="方正仿宋_GBK" w:cs="Times New Roman"/>
          <w:kern w:val="2"/>
          <w:sz w:val="32"/>
          <w:szCs w:val="32"/>
          <w:lang w:val="en-US" w:eastAsia="zh-CN" w:bidi="ar-SA"/>
        </w:rPr>
        <w:t>徐有文</w:t>
      </w:r>
      <w:r>
        <w:rPr>
          <w:rFonts w:hint="eastAsia" w:cs="Times New Roman"/>
          <w:kern w:val="2"/>
          <w:sz w:val="32"/>
          <w:szCs w:val="32"/>
          <w:lang w:val="en-US" w:eastAsia="zh-CN" w:bidi="ar-SA"/>
        </w:rPr>
        <w:t xml:space="preserve">  高级工程师        </w:t>
      </w:r>
      <w:r>
        <w:rPr>
          <w:rFonts w:hint="eastAsia"/>
          <w:szCs w:val="32"/>
        </w:rPr>
        <w:t xml:space="preserve">张 </w:t>
      </w:r>
      <w:r>
        <w:rPr>
          <w:szCs w:val="32"/>
        </w:rPr>
        <w:t xml:space="preserve"> </w:t>
      </w:r>
      <w:r>
        <w:rPr>
          <w:rFonts w:hint="eastAsia"/>
          <w:szCs w:val="32"/>
        </w:rPr>
        <w:t xml:space="preserve">容 </w:t>
      </w:r>
      <w:r>
        <w:rPr>
          <w:szCs w:val="32"/>
        </w:rPr>
        <w:t xml:space="preserve"> </w:t>
      </w:r>
      <w:r>
        <w:rPr>
          <w:rFonts w:hint="eastAsia"/>
          <w:szCs w:val="32"/>
        </w:rPr>
        <w:t>农业经济师</w:t>
      </w:r>
      <w:r>
        <w:rPr>
          <w:rFonts w:hint="eastAsia"/>
          <w:szCs w:val="32"/>
          <w:lang w:val="en-US" w:eastAsia="zh-CN"/>
        </w:rPr>
        <w:t xml:space="preserve">        </w:t>
      </w:r>
      <w:r>
        <w:rPr>
          <w:rFonts w:hint="eastAsia"/>
          <w:szCs w:val="32"/>
        </w:rPr>
        <w:t xml:space="preserve">夏宏秋 </w:t>
      </w:r>
      <w:r>
        <w:rPr>
          <w:szCs w:val="32"/>
        </w:rPr>
        <w:t xml:space="preserve"> </w:t>
      </w:r>
      <w:r>
        <w:rPr>
          <w:rFonts w:hint="eastAsia"/>
          <w:szCs w:val="32"/>
        </w:rPr>
        <w:t>农艺师</w:t>
      </w:r>
      <w:r>
        <w:rPr>
          <w:rFonts w:hint="eastAsia"/>
          <w:szCs w:val="32"/>
          <w:lang w:val="en-US" w:eastAsia="zh-CN"/>
        </w:rPr>
        <w:t xml:space="preserve">            </w:t>
      </w:r>
      <w:r>
        <w:rPr>
          <w:rFonts w:hint="eastAsia"/>
          <w:szCs w:val="32"/>
        </w:rPr>
        <w:t>欧  盛  农艺师</w:t>
      </w:r>
      <w:r>
        <w:rPr>
          <w:rFonts w:hint="eastAsia"/>
          <w:szCs w:val="32"/>
          <w:lang w:val="en-US" w:eastAsia="zh-CN"/>
        </w:rPr>
        <w:t xml:space="preserve">            </w:t>
      </w:r>
      <w:r>
        <w:rPr>
          <w:rFonts w:hint="eastAsia"/>
          <w:szCs w:val="32"/>
        </w:rPr>
        <w:t>黄祖元  林业工程师</w:t>
      </w:r>
      <w:r>
        <w:rPr>
          <w:rFonts w:hint="eastAsia"/>
          <w:szCs w:val="32"/>
          <w:lang w:val="en-US" w:eastAsia="zh-CN"/>
        </w:rPr>
        <w:t xml:space="preserve">        </w:t>
      </w:r>
      <w:r>
        <w:rPr>
          <w:rFonts w:hint="eastAsia"/>
          <w:szCs w:val="32"/>
        </w:rPr>
        <w:t>林红兵  林业工程师</w:t>
      </w:r>
      <w:r>
        <w:rPr>
          <w:rFonts w:hint="eastAsia"/>
          <w:szCs w:val="32"/>
          <w:lang w:val="en-US" w:eastAsia="zh-CN"/>
        </w:rPr>
        <w:t xml:space="preserve">        </w:t>
      </w:r>
      <w:r>
        <w:rPr>
          <w:rFonts w:hint="eastAsia"/>
          <w:szCs w:val="32"/>
        </w:rPr>
        <w:t>黄颂迪  农艺师</w:t>
      </w:r>
      <w:r>
        <w:rPr>
          <w:rFonts w:hint="eastAsia"/>
          <w:szCs w:val="32"/>
          <w:lang w:val="en-US" w:eastAsia="zh-CN"/>
        </w:rPr>
        <w:t xml:space="preserve">            </w:t>
      </w:r>
      <w:r>
        <w:rPr>
          <w:rFonts w:hint="eastAsia"/>
          <w:szCs w:val="32"/>
        </w:rPr>
        <w:t>邱</w:t>
      </w:r>
      <w:r>
        <w:rPr>
          <w:rFonts w:hint="eastAsia"/>
          <w:szCs w:val="32"/>
          <w:lang w:eastAsia="zh-CN"/>
        </w:rPr>
        <w:t>映</w:t>
      </w:r>
      <w:r>
        <w:rPr>
          <w:rFonts w:hint="eastAsia"/>
          <w:szCs w:val="32"/>
        </w:rPr>
        <w:t>雪  农艺师</w:t>
      </w:r>
      <w:r>
        <w:rPr>
          <w:rFonts w:hint="eastAsia"/>
          <w:szCs w:val="32"/>
          <w:lang w:val="en-US" w:eastAsia="zh-CN"/>
        </w:rPr>
        <w:t xml:space="preserve">            </w:t>
      </w:r>
      <w:r>
        <w:rPr>
          <w:rFonts w:hint="eastAsia" w:ascii="Times New Roman" w:hAnsi="Times New Roman" w:eastAsia="方正仿宋_GBK" w:cs="Times New Roman"/>
          <w:kern w:val="2"/>
          <w:sz w:val="32"/>
          <w:szCs w:val="32"/>
          <w:lang w:val="en-US" w:eastAsia="zh-CN" w:bidi="ar-SA"/>
        </w:rPr>
        <w:t>郑忠文</w:t>
      </w:r>
      <w:r>
        <w:rPr>
          <w:rFonts w:hint="eastAsia" w:cs="Times New Roman"/>
          <w:kern w:val="2"/>
          <w:sz w:val="32"/>
          <w:szCs w:val="32"/>
          <w:lang w:val="en-US" w:eastAsia="zh-CN" w:bidi="ar-SA"/>
        </w:rPr>
        <w:t xml:space="preserve">  </w:t>
      </w:r>
      <w:r>
        <w:rPr>
          <w:rFonts w:hint="eastAsia"/>
          <w:szCs w:val="32"/>
        </w:rPr>
        <w:t>林业工程师</w:t>
      </w:r>
      <w:r>
        <w:rPr>
          <w:rFonts w:hint="eastAsia"/>
          <w:szCs w:val="32"/>
          <w:lang w:val="en-US" w:eastAsia="zh-CN"/>
        </w:rPr>
        <w:t xml:space="preserve">        </w:t>
      </w:r>
      <w:r>
        <w:rPr>
          <w:rFonts w:hint="eastAsia"/>
          <w:szCs w:val="32"/>
        </w:rPr>
        <w:t>蒙  潇  助理畜牧师</w:t>
      </w:r>
    </w:p>
    <w:p>
      <w:pPr>
        <w:spacing w:line="520" w:lineRule="exact"/>
        <w:ind w:firstLine="960" w:firstLineChars="300"/>
        <w:jc w:val="left"/>
        <w:rPr>
          <w:rFonts w:hint="eastAsia"/>
          <w:szCs w:val="32"/>
        </w:rPr>
      </w:pPr>
      <w:r>
        <w:rPr>
          <w:rFonts w:hint="eastAsia"/>
          <w:szCs w:val="32"/>
        </w:rPr>
        <w:t>陆烨平  助理农艺师</w:t>
      </w:r>
      <w:r>
        <w:rPr>
          <w:rFonts w:hint="eastAsia"/>
          <w:szCs w:val="32"/>
          <w:lang w:val="en-US" w:eastAsia="zh-CN"/>
        </w:rPr>
        <w:t xml:space="preserve">        </w:t>
      </w:r>
      <w:r>
        <w:rPr>
          <w:rFonts w:hint="eastAsia"/>
          <w:szCs w:val="32"/>
        </w:rPr>
        <w:t>韦莹俏</w:t>
      </w:r>
      <w:r>
        <w:rPr>
          <w:rFonts w:hint="eastAsia"/>
          <w:szCs w:val="32"/>
          <w:lang w:val="en-US" w:eastAsia="zh-CN"/>
        </w:rPr>
        <w:t xml:space="preserve">  </w:t>
      </w:r>
      <w:r>
        <w:rPr>
          <w:rFonts w:hint="eastAsia"/>
          <w:szCs w:val="32"/>
        </w:rPr>
        <w:t>助理农艺师</w:t>
      </w:r>
    </w:p>
    <w:p>
      <w:pPr>
        <w:spacing w:line="520" w:lineRule="exact"/>
        <w:ind w:firstLine="960" w:firstLineChars="300"/>
        <w:jc w:val="left"/>
        <w:rPr>
          <w:rFonts w:hint="default" w:ascii="Times New Roman" w:hAnsi="Times New Roman" w:eastAsia="方正仿宋_GBK" w:cs="Times New Roman"/>
          <w:kern w:val="2"/>
          <w:sz w:val="32"/>
          <w:szCs w:val="32"/>
          <w:lang w:val="en-US" w:eastAsia="zh-CN" w:bidi="ar-SA"/>
        </w:rPr>
        <w:sectPr>
          <w:footerReference r:id="rId11" w:type="default"/>
          <w:footerReference r:id="rId12" w:type="even"/>
          <w:pgSz w:w="11906" w:h="16838"/>
          <w:pgMar w:top="1440" w:right="1287" w:bottom="1440" w:left="1588" w:header="851" w:footer="992" w:gutter="0"/>
          <w:cols w:space="425" w:num="1"/>
          <w:docGrid w:type="lines" w:linePitch="435" w:charSpace="0"/>
        </w:sectPr>
      </w:pPr>
      <w:r>
        <w:rPr>
          <w:rFonts w:hint="eastAsia" w:cs="Times New Roman"/>
          <w:kern w:val="2"/>
          <w:sz w:val="32"/>
          <w:szCs w:val="32"/>
          <w:lang w:val="en-US" w:eastAsia="zh-CN" w:bidi="ar-SA"/>
        </w:rPr>
        <w:t xml:space="preserve">        </w:t>
      </w:r>
      <w:r>
        <w:rPr>
          <w:rFonts w:hint="eastAsia" w:cs="Times New Roman"/>
          <w:kern w:val="2"/>
          <w:sz w:val="32"/>
          <w:szCs w:val="32"/>
          <w:lang w:val="en-US" w:eastAsia="zh-CN" w:bidi="ar-SA"/>
        </w:rPr>
        <w:t xml:space="preserve"> </w:t>
      </w:r>
    </w:p>
    <w:p>
      <w:pPr>
        <w:ind w:firstLine="640"/>
        <w:jc w:val="center"/>
        <w:rPr>
          <w:szCs w:val="32"/>
        </w:rPr>
      </w:pPr>
      <w:r>
        <w:rPr>
          <w:rFonts w:hint="eastAsia" w:eastAsia="Arial Unicode MS"/>
          <w:color w:val="000000"/>
        </w:rPr>
        <w:t>目</w:t>
      </w:r>
      <w:r>
        <w:rPr>
          <w:rFonts w:eastAsia="Arial Unicode MS"/>
          <w:color w:val="000000"/>
        </w:rPr>
        <w:t xml:space="preserve">  </w:t>
      </w:r>
      <w:r>
        <w:rPr>
          <w:rFonts w:hint="eastAsia" w:eastAsia="Arial Unicode MS"/>
          <w:color w:val="000000"/>
        </w:rPr>
        <w:t>录</w:t>
      </w:r>
    </w:p>
    <w:p>
      <w:pPr>
        <w:pStyle w:val="15"/>
        <w:tabs>
          <w:tab w:val="right" w:leader="dot" w:pos="9021"/>
        </w:tabs>
        <w:ind w:firstLine="0" w:firstLineChars="0"/>
        <w:jc w:val="right"/>
        <w:rPr>
          <w:rFonts w:eastAsia="方正黑体_GBK"/>
          <w:bCs/>
          <w:kern w:val="44"/>
          <w:szCs w:val="44"/>
        </w:rPr>
      </w:pPr>
      <w:r>
        <w:fldChar w:fldCharType="begin"/>
      </w:r>
      <w:r>
        <w:instrText xml:space="preserve">TOC \o "1-2" \h \u </w:instrText>
      </w:r>
      <w:r>
        <w:fldChar w:fldCharType="separate"/>
      </w:r>
      <w:r>
        <w:fldChar w:fldCharType="begin"/>
      </w:r>
      <w:r>
        <w:instrText xml:space="preserve"> HYPERLINK \l "_Toc150595426" </w:instrText>
      </w:r>
      <w:r>
        <w:fldChar w:fldCharType="separate"/>
      </w:r>
      <w:r>
        <w:rPr>
          <w:rFonts w:eastAsia="方正黑体_GBK"/>
          <w:bCs/>
          <w:kern w:val="44"/>
          <w:szCs w:val="44"/>
        </w:rPr>
        <w:t>前  言</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_Toc150595426 \h </w:instrText>
      </w:r>
      <w:r>
        <w:rPr>
          <w:rFonts w:eastAsia="方正黑体_GBK"/>
          <w:bCs/>
          <w:kern w:val="44"/>
          <w:szCs w:val="44"/>
        </w:rPr>
        <w:fldChar w:fldCharType="separate"/>
      </w:r>
      <w:r>
        <w:rPr>
          <w:rFonts w:eastAsia="方正黑体_GBK"/>
          <w:bCs/>
          <w:kern w:val="44"/>
          <w:szCs w:val="44"/>
        </w:rPr>
        <w:t>1</w:t>
      </w:r>
      <w:r>
        <w:rPr>
          <w:rFonts w:eastAsia="方正黑体_GBK"/>
          <w:bCs/>
          <w:kern w:val="44"/>
          <w:szCs w:val="44"/>
        </w:rPr>
        <w:fldChar w:fldCharType="end"/>
      </w:r>
      <w:r>
        <w:rPr>
          <w:rFonts w:eastAsia="方正黑体_GBK"/>
          <w:bCs/>
          <w:kern w:val="44"/>
          <w:szCs w:val="44"/>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"_Toc150595427" </w:instrText>
      </w:r>
      <w:r>
        <w:fldChar w:fldCharType="separate"/>
      </w:r>
      <w:r>
        <w:rPr>
          <w:rFonts w:eastAsia="方正黑体_GBK"/>
          <w:bCs/>
          <w:kern w:val="44"/>
          <w:szCs w:val="44"/>
        </w:rPr>
        <w:t>第一章  现实基础与发展环境</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_Toc150595427 \h </w:instrText>
      </w:r>
      <w:r>
        <w:rPr>
          <w:rFonts w:eastAsia="方正黑体_GBK"/>
          <w:bCs/>
          <w:kern w:val="44"/>
          <w:szCs w:val="44"/>
        </w:rPr>
        <w:fldChar w:fldCharType="separate"/>
      </w:r>
      <w:r>
        <w:rPr>
          <w:rFonts w:eastAsia="方正黑体_GBK"/>
          <w:bCs/>
          <w:kern w:val="44"/>
          <w:szCs w:val="44"/>
        </w:rPr>
        <w:t>2</w:t>
      </w:r>
      <w:r>
        <w:rPr>
          <w:rFonts w:eastAsia="方正黑体_GBK"/>
          <w:bCs/>
          <w:kern w:val="44"/>
          <w:szCs w:val="44"/>
        </w:rPr>
        <w:fldChar w:fldCharType="end"/>
      </w:r>
      <w:r>
        <w:rPr>
          <w:rFonts w:eastAsia="方正黑体_GBK"/>
          <w:bCs/>
          <w:kern w:val="44"/>
          <w:szCs w:val="44"/>
        </w:rPr>
        <w:fldChar w:fldCharType="end"/>
      </w:r>
    </w:p>
    <w:p>
      <w:pPr>
        <w:pStyle w:val="18"/>
        <w:ind w:left="-80" w:leftChars="-25"/>
        <w:jc w:val="right"/>
        <w:rPr>
          <w:rStyle w:val="27"/>
        </w:rPr>
      </w:pPr>
      <w:r>
        <w:fldChar w:fldCharType="begin"/>
      </w:r>
      <w:r>
        <w:instrText xml:space="preserve"> HYPERLINK \l "_Toc150595428" </w:instrText>
      </w:r>
      <w:r>
        <w:fldChar w:fldCharType="separate"/>
      </w:r>
      <w:r>
        <w:rPr>
          <w:rStyle w:val="27"/>
          <w:rFonts w:ascii="Times New Roman"/>
        </w:rPr>
        <w:t>第一节  现实基础</w:t>
      </w:r>
      <w:r>
        <w:rPr>
          <w:rStyle w:val="27"/>
        </w:rPr>
        <w:tab/>
      </w:r>
      <w:r>
        <w:rPr>
          <w:rStyle w:val="27"/>
        </w:rPr>
        <w:fldChar w:fldCharType="begin"/>
      </w:r>
      <w:r>
        <w:rPr>
          <w:rStyle w:val="27"/>
        </w:rPr>
        <w:instrText xml:space="preserve"> PAGEREF _Toc150595428 \h </w:instrText>
      </w:r>
      <w:r>
        <w:rPr>
          <w:rStyle w:val="27"/>
        </w:rPr>
        <w:fldChar w:fldCharType="separate"/>
      </w:r>
      <w:r>
        <w:rPr>
          <w:rStyle w:val="27"/>
        </w:rPr>
        <w:t>2</w:t>
      </w:r>
      <w:r>
        <w:rPr>
          <w:rStyle w:val="27"/>
        </w:rPr>
        <w:fldChar w:fldCharType="end"/>
      </w:r>
      <w:r>
        <w:rPr>
          <w:rStyle w:val="27"/>
        </w:rPr>
        <w:fldChar w:fldCharType="end"/>
      </w:r>
    </w:p>
    <w:p>
      <w:pPr>
        <w:pStyle w:val="18"/>
        <w:ind w:left="-80" w:leftChars="-25"/>
        <w:jc w:val="right"/>
        <w:rPr>
          <w:rStyle w:val="27"/>
        </w:rPr>
      </w:pPr>
      <w:r>
        <w:fldChar w:fldCharType="begin"/>
      </w:r>
      <w:r>
        <w:instrText xml:space="preserve"> HYPERLINK \l "_Toc150595429" </w:instrText>
      </w:r>
      <w:r>
        <w:fldChar w:fldCharType="separate"/>
      </w:r>
      <w:r>
        <w:rPr>
          <w:rStyle w:val="27"/>
          <w:rFonts w:ascii="Times New Roman"/>
        </w:rPr>
        <w:t>第二节  特色产业发展成效</w:t>
      </w:r>
      <w:r>
        <w:rPr>
          <w:rStyle w:val="27"/>
        </w:rPr>
        <w:tab/>
      </w:r>
      <w:r>
        <w:rPr>
          <w:rStyle w:val="27"/>
        </w:rPr>
        <w:fldChar w:fldCharType="begin"/>
      </w:r>
      <w:r>
        <w:rPr>
          <w:rStyle w:val="27"/>
        </w:rPr>
        <w:instrText xml:space="preserve"> PAGEREF _Toc150595429 \h </w:instrText>
      </w:r>
      <w:r>
        <w:rPr>
          <w:rStyle w:val="27"/>
        </w:rPr>
        <w:fldChar w:fldCharType="separate"/>
      </w:r>
      <w:r>
        <w:rPr>
          <w:rStyle w:val="27"/>
        </w:rPr>
        <w:t>4</w:t>
      </w:r>
      <w:r>
        <w:rPr>
          <w:rStyle w:val="27"/>
        </w:rPr>
        <w:fldChar w:fldCharType="end"/>
      </w:r>
      <w:r>
        <w:rPr>
          <w:rStyle w:val="27"/>
        </w:rPr>
        <w:fldChar w:fldCharType="end"/>
      </w:r>
    </w:p>
    <w:p>
      <w:pPr>
        <w:pStyle w:val="18"/>
        <w:ind w:left="-80" w:leftChars="-25"/>
        <w:jc w:val="right"/>
        <w:rPr>
          <w:rFonts w:ascii="Times New Roman" w:hAnsiTheme="minorHAnsi" w:eastAsiaTheme="minorEastAsia" w:cstheme="minorBidi"/>
          <w:spacing w:val="0"/>
          <w:kern w:val="2"/>
          <w:sz w:val="21"/>
          <w:szCs w:val="22"/>
        </w:rPr>
      </w:pPr>
      <w:r>
        <w:fldChar w:fldCharType="begin"/>
      </w:r>
      <w:r>
        <w:instrText xml:space="preserve"> HYPERLINK \l "_Toc150595430" </w:instrText>
      </w:r>
      <w:r>
        <w:fldChar w:fldCharType="separate"/>
      </w:r>
      <w:r>
        <w:rPr>
          <w:rStyle w:val="27"/>
          <w:rFonts w:ascii="Times New Roman"/>
        </w:rPr>
        <w:t>第三节  发展机遇与问题</w:t>
      </w:r>
      <w:r>
        <w:rPr>
          <w:rStyle w:val="27"/>
        </w:rPr>
        <w:tab/>
      </w:r>
      <w:r>
        <w:rPr>
          <w:rStyle w:val="27"/>
        </w:rPr>
        <w:fldChar w:fldCharType="begin"/>
      </w:r>
      <w:r>
        <w:rPr>
          <w:rStyle w:val="27"/>
        </w:rPr>
        <w:instrText xml:space="preserve"> PAGEREF _Toc150595430 \h </w:instrText>
      </w:r>
      <w:r>
        <w:rPr>
          <w:rStyle w:val="27"/>
        </w:rPr>
        <w:fldChar w:fldCharType="separate"/>
      </w:r>
      <w:r>
        <w:rPr>
          <w:rStyle w:val="27"/>
        </w:rPr>
        <w:t>9</w:t>
      </w:r>
      <w:r>
        <w:rPr>
          <w:rStyle w:val="27"/>
        </w:rPr>
        <w:fldChar w:fldCharType="end"/>
      </w:r>
      <w:r>
        <w:rPr>
          <w:rStyle w:val="27"/>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"_Toc150595431" </w:instrText>
      </w:r>
      <w:r>
        <w:fldChar w:fldCharType="separate"/>
      </w:r>
      <w:r>
        <w:rPr>
          <w:rFonts w:eastAsia="方正黑体_GBK"/>
          <w:bCs/>
          <w:kern w:val="44"/>
          <w:szCs w:val="44"/>
        </w:rPr>
        <w:t>第二章  发展目标与空间布局</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_Toc150595431 \h </w:instrText>
      </w:r>
      <w:r>
        <w:rPr>
          <w:rFonts w:eastAsia="方正黑体_GBK"/>
          <w:bCs/>
          <w:kern w:val="44"/>
          <w:szCs w:val="44"/>
        </w:rPr>
        <w:fldChar w:fldCharType="separate"/>
      </w:r>
      <w:r>
        <w:rPr>
          <w:rFonts w:eastAsia="方正黑体_GBK"/>
          <w:bCs/>
          <w:kern w:val="44"/>
          <w:szCs w:val="44"/>
        </w:rPr>
        <w:t>12</w:t>
      </w:r>
      <w:r>
        <w:rPr>
          <w:rFonts w:eastAsia="方正黑体_GBK"/>
          <w:bCs/>
          <w:kern w:val="44"/>
          <w:szCs w:val="44"/>
        </w:rPr>
        <w:fldChar w:fldCharType="end"/>
      </w:r>
      <w:r>
        <w:rPr>
          <w:rFonts w:eastAsia="方正黑体_GBK"/>
          <w:bCs/>
          <w:kern w:val="44"/>
          <w:szCs w:val="44"/>
        </w:rPr>
        <w:fldChar w:fldCharType="end"/>
      </w:r>
    </w:p>
    <w:p>
      <w:pPr>
        <w:pStyle w:val="18"/>
        <w:ind w:left="-80" w:leftChars="-25"/>
        <w:jc w:val="right"/>
        <w:rPr>
          <w:rStyle w:val="27"/>
          <w:rFonts w:ascii="Times New Roman"/>
        </w:rPr>
      </w:pPr>
      <w:r>
        <w:fldChar w:fldCharType="begin"/>
      </w:r>
      <w:r>
        <w:instrText xml:space="preserve"> HYPERLINK \l "_Toc150595432" </w:instrText>
      </w:r>
      <w:r>
        <w:fldChar w:fldCharType="separate"/>
      </w:r>
      <w:r>
        <w:rPr>
          <w:rStyle w:val="27"/>
          <w:rFonts w:ascii="Times New Roman"/>
        </w:rPr>
        <w:t>第一节  发展目标</w:t>
      </w:r>
      <w:r>
        <w:rPr>
          <w:rStyle w:val="27"/>
          <w:rFonts w:ascii="Times New Roman"/>
        </w:rPr>
        <w:tab/>
      </w:r>
      <w:r>
        <w:rPr>
          <w:rStyle w:val="27"/>
          <w:rFonts w:ascii="Times New Roman"/>
        </w:rPr>
        <w:fldChar w:fldCharType="begin"/>
      </w:r>
      <w:r>
        <w:rPr>
          <w:rStyle w:val="27"/>
          <w:rFonts w:ascii="Times New Roman"/>
        </w:rPr>
        <w:instrText xml:space="preserve"> PAGEREF _Toc150595432 \h </w:instrText>
      </w:r>
      <w:r>
        <w:rPr>
          <w:rStyle w:val="27"/>
          <w:rFonts w:ascii="Times New Roman"/>
        </w:rPr>
        <w:fldChar w:fldCharType="separate"/>
      </w:r>
      <w:r>
        <w:rPr>
          <w:rStyle w:val="27"/>
          <w:rFonts w:ascii="Times New Roman"/>
        </w:rPr>
        <w:t>12</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"_Toc150595433" </w:instrText>
      </w:r>
      <w:r>
        <w:fldChar w:fldCharType="separate"/>
      </w:r>
      <w:r>
        <w:rPr>
          <w:rStyle w:val="27"/>
          <w:rFonts w:ascii="Times New Roman"/>
        </w:rPr>
        <w:t>第二节  空间布局</w:t>
      </w:r>
      <w:r>
        <w:rPr>
          <w:rStyle w:val="27"/>
          <w:rFonts w:ascii="Times New Roman"/>
        </w:rPr>
        <w:tab/>
      </w:r>
      <w:r>
        <w:rPr>
          <w:rStyle w:val="27"/>
          <w:rFonts w:ascii="Times New Roman"/>
        </w:rPr>
        <w:fldChar w:fldCharType="begin"/>
      </w:r>
      <w:r>
        <w:rPr>
          <w:rStyle w:val="27"/>
          <w:rFonts w:ascii="Times New Roman"/>
        </w:rPr>
        <w:instrText xml:space="preserve"> PAGEREF _Toc150595433 \h </w:instrText>
      </w:r>
      <w:r>
        <w:rPr>
          <w:rStyle w:val="27"/>
          <w:rFonts w:ascii="Times New Roman"/>
        </w:rPr>
        <w:fldChar w:fldCharType="separate"/>
      </w:r>
      <w:r>
        <w:rPr>
          <w:rStyle w:val="27"/>
          <w:rFonts w:ascii="Times New Roman"/>
        </w:rPr>
        <w:t>18</w:t>
      </w:r>
      <w:r>
        <w:rPr>
          <w:rStyle w:val="27"/>
          <w:rFonts w:ascii="Times New Roman"/>
        </w:rPr>
        <w:fldChar w:fldCharType="end"/>
      </w:r>
      <w:r>
        <w:rPr>
          <w:rStyle w:val="27"/>
          <w:rFonts w:ascii="Times New Roman"/>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"_Toc150595434" </w:instrText>
      </w:r>
      <w:r>
        <w:fldChar w:fldCharType="separate"/>
      </w:r>
      <w:r>
        <w:rPr>
          <w:rFonts w:eastAsia="方正黑体_GBK"/>
          <w:bCs/>
          <w:kern w:val="44"/>
          <w:szCs w:val="44"/>
        </w:rPr>
        <w:t>第三章  做强螺蛳粉原材料（含优质稻）产业</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_Toc150595434 \h </w:instrText>
      </w:r>
      <w:r>
        <w:rPr>
          <w:rFonts w:eastAsia="方正黑体_GBK"/>
          <w:bCs/>
          <w:kern w:val="44"/>
          <w:szCs w:val="44"/>
        </w:rPr>
        <w:fldChar w:fldCharType="separate"/>
      </w:r>
      <w:r>
        <w:rPr>
          <w:rFonts w:eastAsia="方正黑体_GBK"/>
          <w:bCs/>
          <w:kern w:val="44"/>
          <w:szCs w:val="44"/>
        </w:rPr>
        <w:t>22</w:t>
      </w:r>
      <w:r>
        <w:rPr>
          <w:rFonts w:eastAsia="方正黑体_GBK"/>
          <w:bCs/>
          <w:kern w:val="44"/>
          <w:szCs w:val="44"/>
        </w:rPr>
        <w:fldChar w:fldCharType="end"/>
      </w:r>
      <w:r>
        <w:rPr>
          <w:rFonts w:eastAsia="方正黑体_GBK"/>
          <w:bCs/>
          <w:kern w:val="44"/>
          <w:szCs w:val="44"/>
        </w:rPr>
        <w:fldChar w:fldCharType="end"/>
      </w:r>
    </w:p>
    <w:p>
      <w:pPr>
        <w:pStyle w:val="18"/>
        <w:ind w:left="-80" w:leftChars="-25"/>
        <w:jc w:val="right"/>
        <w:rPr>
          <w:rStyle w:val="27"/>
          <w:rFonts w:ascii="Times New Roman"/>
        </w:rPr>
      </w:pPr>
      <w:r>
        <w:fldChar w:fldCharType="begin"/>
      </w:r>
      <w:r>
        <w:instrText xml:space="preserve"> HYPERLINK \l "_Toc150595435" </w:instrText>
      </w:r>
      <w:r>
        <w:fldChar w:fldCharType="separate"/>
      </w:r>
      <w:r>
        <w:rPr>
          <w:rStyle w:val="27"/>
          <w:rFonts w:ascii="Times New Roman"/>
        </w:rPr>
        <w:t>第一节  基础条件</w:t>
      </w:r>
      <w:r>
        <w:rPr>
          <w:rStyle w:val="27"/>
          <w:rFonts w:ascii="Times New Roman"/>
        </w:rPr>
        <w:tab/>
      </w:r>
      <w:r>
        <w:rPr>
          <w:rStyle w:val="27"/>
          <w:rFonts w:ascii="Times New Roman"/>
        </w:rPr>
        <w:fldChar w:fldCharType="begin"/>
      </w:r>
      <w:r>
        <w:rPr>
          <w:rStyle w:val="27"/>
          <w:rFonts w:ascii="Times New Roman"/>
        </w:rPr>
        <w:instrText xml:space="preserve"> PAGEREF _Toc150595435 \h </w:instrText>
      </w:r>
      <w:r>
        <w:rPr>
          <w:rStyle w:val="27"/>
          <w:rFonts w:ascii="Times New Roman"/>
        </w:rPr>
        <w:fldChar w:fldCharType="separate"/>
      </w:r>
      <w:r>
        <w:rPr>
          <w:rStyle w:val="27"/>
          <w:rFonts w:ascii="Times New Roman"/>
        </w:rPr>
        <w:t>22</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"_Toc150595436" </w:instrText>
      </w:r>
      <w:r>
        <w:fldChar w:fldCharType="separate"/>
      </w:r>
      <w:r>
        <w:rPr>
          <w:rStyle w:val="27"/>
          <w:rFonts w:ascii="Times New Roman"/>
        </w:rPr>
        <w:t>第二节  发展思路</w:t>
      </w:r>
      <w:r>
        <w:rPr>
          <w:rStyle w:val="27"/>
          <w:rFonts w:ascii="Times New Roman"/>
        </w:rPr>
        <w:tab/>
      </w:r>
      <w:r>
        <w:rPr>
          <w:rStyle w:val="27"/>
          <w:rFonts w:ascii="Times New Roman"/>
        </w:rPr>
        <w:fldChar w:fldCharType="begin"/>
      </w:r>
      <w:r>
        <w:rPr>
          <w:rStyle w:val="27"/>
          <w:rFonts w:ascii="Times New Roman"/>
        </w:rPr>
        <w:instrText xml:space="preserve"> PAGEREF _Toc150595436 \h </w:instrText>
      </w:r>
      <w:r>
        <w:rPr>
          <w:rStyle w:val="27"/>
          <w:rFonts w:ascii="Times New Roman"/>
        </w:rPr>
        <w:fldChar w:fldCharType="separate"/>
      </w:r>
      <w:r>
        <w:rPr>
          <w:rStyle w:val="27"/>
          <w:rFonts w:ascii="Times New Roman"/>
        </w:rPr>
        <w:t>25</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"_Toc150595437" </w:instrText>
      </w:r>
      <w:r>
        <w:fldChar w:fldCharType="separate"/>
      </w:r>
      <w:r>
        <w:rPr>
          <w:rStyle w:val="27"/>
          <w:rFonts w:ascii="Times New Roman"/>
        </w:rPr>
        <w:t>第三节  预期目标</w:t>
      </w:r>
      <w:r>
        <w:rPr>
          <w:rStyle w:val="27"/>
          <w:rFonts w:ascii="Times New Roman"/>
        </w:rPr>
        <w:tab/>
      </w:r>
      <w:r>
        <w:rPr>
          <w:rStyle w:val="27"/>
          <w:rFonts w:ascii="Times New Roman"/>
        </w:rPr>
        <w:fldChar w:fldCharType="begin"/>
      </w:r>
      <w:r>
        <w:rPr>
          <w:rStyle w:val="27"/>
          <w:rFonts w:ascii="Times New Roman"/>
        </w:rPr>
        <w:instrText xml:space="preserve"> PAGEREF _Toc150595437 \h </w:instrText>
      </w:r>
      <w:r>
        <w:rPr>
          <w:rStyle w:val="27"/>
          <w:rFonts w:ascii="Times New Roman"/>
        </w:rPr>
        <w:fldChar w:fldCharType="separate"/>
      </w:r>
      <w:r>
        <w:rPr>
          <w:rStyle w:val="27"/>
          <w:rFonts w:ascii="Times New Roman"/>
        </w:rPr>
        <w:t>25</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"_Toc150595438" </w:instrText>
      </w:r>
      <w:r>
        <w:fldChar w:fldCharType="separate"/>
      </w:r>
      <w:r>
        <w:rPr>
          <w:rStyle w:val="27"/>
          <w:rFonts w:ascii="Times New Roman"/>
        </w:rPr>
        <w:t>第四节  重点任务</w:t>
      </w:r>
      <w:r>
        <w:rPr>
          <w:rStyle w:val="27"/>
          <w:rFonts w:ascii="Times New Roman"/>
        </w:rPr>
        <w:tab/>
      </w:r>
      <w:r>
        <w:rPr>
          <w:rStyle w:val="27"/>
          <w:rFonts w:ascii="Times New Roman"/>
        </w:rPr>
        <w:fldChar w:fldCharType="begin"/>
      </w:r>
      <w:r>
        <w:rPr>
          <w:rStyle w:val="27"/>
          <w:rFonts w:ascii="Times New Roman"/>
        </w:rPr>
        <w:instrText xml:space="preserve"> PAGEREF _Toc150595438 \h </w:instrText>
      </w:r>
      <w:r>
        <w:rPr>
          <w:rStyle w:val="27"/>
          <w:rFonts w:ascii="Times New Roman"/>
        </w:rPr>
        <w:fldChar w:fldCharType="separate"/>
      </w:r>
      <w:r>
        <w:rPr>
          <w:rStyle w:val="27"/>
          <w:rFonts w:ascii="Times New Roman"/>
        </w:rPr>
        <w:t>27</w:t>
      </w:r>
      <w:r>
        <w:rPr>
          <w:rStyle w:val="27"/>
          <w:rFonts w:ascii="Times New Roman"/>
        </w:rPr>
        <w:fldChar w:fldCharType="end"/>
      </w:r>
      <w:r>
        <w:rPr>
          <w:rStyle w:val="27"/>
          <w:rFonts w:ascii="Times New Roman"/>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"_Toc150595439" </w:instrText>
      </w:r>
      <w:r>
        <w:fldChar w:fldCharType="separate"/>
      </w:r>
      <w:r>
        <w:rPr>
          <w:rFonts w:eastAsia="方正黑体_GBK"/>
          <w:bCs/>
          <w:kern w:val="44"/>
          <w:szCs w:val="44"/>
        </w:rPr>
        <w:t>第四章  稳定发展家禽产业</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_Toc150595439 \h </w:instrText>
      </w:r>
      <w:r>
        <w:rPr>
          <w:rFonts w:eastAsia="方正黑体_GBK"/>
          <w:bCs/>
          <w:kern w:val="44"/>
          <w:szCs w:val="44"/>
        </w:rPr>
        <w:fldChar w:fldCharType="separate"/>
      </w:r>
      <w:r>
        <w:rPr>
          <w:rFonts w:eastAsia="方正黑体_GBK"/>
          <w:bCs/>
          <w:kern w:val="44"/>
          <w:szCs w:val="44"/>
        </w:rPr>
        <w:t>33</w:t>
      </w:r>
      <w:r>
        <w:rPr>
          <w:rFonts w:eastAsia="方正黑体_GBK"/>
          <w:bCs/>
          <w:kern w:val="44"/>
          <w:szCs w:val="44"/>
        </w:rPr>
        <w:fldChar w:fldCharType="end"/>
      </w:r>
      <w:r>
        <w:rPr>
          <w:rFonts w:eastAsia="方正黑体_GBK"/>
          <w:bCs/>
          <w:kern w:val="44"/>
          <w:szCs w:val="44"/>
        </w:rPr>
        <w:fldChar w:fldCharType="end"/>
      </w:r>
    </w:p>
    <w:p>
      <w:pPr>
        <w:pStyle w:val="18"/>
        <w:ind w:left="-80" w:leftChars="-25"/>
        <w:jc w:val="right"/>
        <w:rPr>
          <w:rStyle w:val="27"/>
          <w:rFonts w:ascii="Times New Roman"/>
        </w:rPr>
      </w:pPr>
      <w:r>
        <w:fldChar w:fldCharType="begin"/>
      </w:r>
      <w:r>
        <w:instrText xml:space="preserve"> HYPERLINK \l "_Toc150595440" </w:instrText>
      </w:r>
      <w:r>
        <w:fldChar w:fldCharType="separate"/>
      </w:r>
      <w:r>
        <w:rPr>
          <w:rStyle w:val="27"/>
          <w:rFonts w:ascii="Times New Roman"/>
        </w:rPr>
        <w:t>第一节  基础条件</w:t>
      </w:r>
      <w:r>
        <w:rPr>
          <w:rStyle w:val="27"/>
          <w:rFonts w:ascii="Times New Roman"/>
        </w:rPr>
        <w:tab/>
      </w:r>
      <w:r>
        <w:rPr>
          <w:rStyle w:val="27"/>
          <w:rFonts w:ascii="Times New Roman"/>
        </w:rPr>
        <w:fldChar w:fldCharType="begin"/>
      </w:r>
      <w:r>
        <w:rPr>
          <w:rStyle w:val="27"/>
          <w:rFonts w:ascii="Times New Roman"/>
        </w:rPr>
        <w:instrText xml:space="preserve"> PAGEREF _Toc150595440 \h </w:instrText>
      </w:r>
      <w:r>
        <w:rPr>
          <w:rStyle w:val="27"/>
          <w:rFonts w:ascii="Times New Roman"/>
        </w:rPr>
        <w:fldChar w:fldCharType="separate"/>
      </w:r>
      <w:r>
        <w:rPr>
          <w:rStyle w:val="27"/>
          <w:rFonts w:ascii="Times New Roman"/>
        </w:rPr>
        <w:t>33</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"_Toc150595441" </w:instrText>
      </w:r>
      <w:r>
        <w:fldChar w:fldCharType="separate"/>
      </w:r>
      <w:r>
        <w:rPr>
          <w:rStyle w:val="27"/>
          <w:rFonts w:ascii="Times New Roman"/>
        </w:rPr>
        <w:t>第二节  发展思路</w:t>
      </w:r>
      <w:r>
        <w:rPr>
          <w:rStyle w:val="27"/>
          <w:rFonts w:ascii="Times New Roman"/>
        </w:rPr>
        <w:tab/>
      </w:r>
      <w:r>
        <w:rPr>
          <w:rStyle w:val="27"/>
          <w:rFonts w:ascii="Times New Roman"/>
        </w:rPr>
        <w:fldChar w:fldCharType="begin"/>
      </w:r>
      <w:r>
        <w:rPr>
          <w:rStyle w:val="27"/>
          <w:rFonts w:ascii="Times New Roman"/>
        </w:rPr>
        <w:instrText xml:space="preserve"> PAGEREF _Toc150595441 \h </w:instrText>
      </w:r>
      <w:r>
        <w:rPr>
          <w:rStyle w:val="27"/>
          <w:rFonts w:ascii="Times New Roman"/>
        </w:rPr>
        <w:fldChar w:fldCharType="separate"/>
      </w:r>
      <w:r>
        <w:rPr>
          <w:rStyle w:val="27"/>
          <w:rFonts w:ascii="Times New Roman"/>
        </w:rPr>
        <w:t>35</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"_Toc150595442" </w:instrText>
      </w:r>
      <w:r>
        <w:fldChar w:fldCharType="separate"/>
      </w:r>
      <w:r>
        <w:rPr>
          <w:rStyle w:val="27"/>
          <w:rFonts w:ascii="Times New Roman"/>
        </w:rPr>
        <w:t>第三节  预期目标</w:t>
      </w:r>
      <w:r>
        <w:rPr>
          <w:rStyle w:val="27"/>
          <w:rFonts w:ascii="Times New Roman"/>
        </w:rPr>
        <w:tab/>
      </w:r>
      <w:r>
        <w:rPr>
          <w:rStyle w:val="27"/>
          <w:rFonts w:ascii="Times New Roman"/>
        </w:rPr>
        <w:fldChar w:fldCharType="begin"/>
      </w:r>
      <w:r>
        <w:rPr>
          <w:rStyle w:val="27"/>
          <w:rFonts w:ascii="Times New Roman"/>
        </w:rPr>
        <w:instrText xml:space="preserve"> PAGEREF _Toc150595442 \h </w:instrText>
      </w:r>
      <w:r>
        <w:rPr>
          <w:rStyle w:val="27"/>
          <w:rFonts w:ascii="Times New Roman"/>
        </w:rPr>
        <w:fldChar w:fldCharType="separate"/>
      </w:r>
      <w:r>
        <w:rPr>
          <w:rStyle w:val="27"/>
          <w:rFonts w:ascii="Times New Roman"/>
        </w:rPr>
        <w:t>35</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"_Toc150595443" </w:instrText>
      </w:r>
      <w:r>
        <w:fldChar w:fldCharType="separate"/>
      </w:r>
      <w:r>
        <w:rPr>
          <w:rStyle w:val="27"/>
          <w:rFonts w:ascii="Times New Roman"/>
        </w:rPr>
        <w:t>第四节  重点任务</w:t>
      </w:r>
      <w:r>
        <w:rPr>
          <w:rStyle w:val="27"/>
          <w:rFonts w:ascii="Times New Roman"/>
        </w:rPr>
        <w:tab/>
      </w:r>
      <w:r>
        <w:rPr>
          <w:rStyle w:val="27"/>
          <w:rFonts w:ascii="Times New Roman"/>
        </w:rPr>
        <w:fldChar w:fldCharType="begin"/>
      </w:r>
      <w:r>
        <w:rPr>
          <w:rStyle w:val="27"/>
          <w:rFonts w:ascii="Times New Roman"/>
        </w:rPr>
        <w:instrText xml:space="preserve"> PAGEREF _Toc150595443 \h </w:instrText>
      </w:r>
      <w:r>
        <w:rPr>
          <w:rStyle w:val="27"/>
          <w:rFonts w:ascii="Times New Roman"/>
        </w:rPr>
        <w:fldChar w:fldCharType="separate"/>
      </w:r>
      <w:r>
        <w:rPr>
          <w:rStyle w:val="27"/>
          <w:rFonts w:ascii="Times New Roman"/>
        </w:rPr>
        <w:t>36</w:t>
      </w:r>
      <w:r>
        <w:rPr>
          <w:rStyle w:val="27"/>
          <w:rFonts w:ascii="Times New Roman"/>
        </w:rPr>
        <w:fldChar w:fldCharType="end"/>
      </w:r>
      <w:r>
        <w:rPr>
          <w:rStyle w:val="27"/>
          <w:rFonts w:ascii="Times New Roman"/>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"_Toc150595444" </w:instrText>
      </w:r>
      <w:r>
        <w:fldChar w:fldCharType="separate"/>
      </w:r>
      <w:r>
        <w:rPr>
          <w:rFonts w:eastAsia="方正黑体_GBK"/>
          <w:bCs/>
          <w:kern w:val="44"/>
          <w:szCs w:val="44"/>
        </w:rPr>
        <w:t>第五章  巩固提升桑蚕产业</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_Toc150595444 \h </w:instrText>
      </w:r>
      <w:r>
        <w:rPr>
          <w:rFonts w:eastAsia="方正黑体_GBK"/>
          <w:bCs/>
          <w:kern w:val="44"/>
          <w:szCs w:val="44"/>
        </w:rPr>
        <w:fldChar w:fldCharType="separate"/>
      </w:r>
      <w:r>
        <w:rPr>
          <w:rFonts w:eastAsia="方正黑体_GBK"/>
          <w:bCs/>
          <w:kern w:val="44"/>
          <w:szCs w:val="44"/>
        </w:rPr>
        <w:t>39</w:t>
      </w:r>
      <w:r>
        <w:rPr>
          <w:rFonts w:eastAsia="方正黑体_GBK"/>
          <w:bCs/>
          <w:kern w:val="44"/>
          <w:szCs w:val="44"/>
        </w:rPr>
        <w:fldChar w:fldCharType="end"/>
      </w:r>
      <w:r>
        <w:rPr>
          <w:rFonts w:eastAsia="方正黑体_GBK"/>
          <w:bCs/>
          <w:kern w:val="44"/>
          <w:szCs w:val="44"/>
        </w:rPr>
        <w:fldChar w:fldCharType="end"/>
      </w:r>
    </w:p>
    <w:p>
      <w:pPr>
        <w:pStyle w:val="18"/>
        <w:ind w:left="-80" w:leftChars="-25"/>
        <w:jc w:val="right"/>
        <w:rPr>
          <w:rStyle w:val="27"/>
          <w:rFonts w:ascii="Times New Roman"/>
        </w:rPr>
      </w:pPr>
      <w:r>
        <w:fldChar w:fldCharType="begin"/>
      </w:r>
      <w:r>
        <w:instrText xml:space="preserve"> HYPERLINK \l "_Toc150595445" </w:instrText>
      </w:r>
      <w:r>
        <w:fldChar w:fldCharType="separate"/>
      </w:r>
      <w:r>
        <w:rPr>
          <w:rStyle w:val="27"/>
          <w:rFonts w:ascii="Times New Roman"/>
        </w:rPr>
        <w:t>第一节  基础条件</w:t>
      </w:r>
      <w:r>
        <w:rPr>
          <w:rStyle w:val="27"/>
          <w:rFonts w:ascii="Times New Roman"/>
        </w:rPr>
        <w:tab/>
      </w:r>
      <w:r>
        <w:rPr>
          <w:rStyle w:val="27"/>
          <w:rFonts w:ascii="Times New Roman"/>
        </w:rPr>
        <w:fldChar w:fldCharType="begin"/>
      </w:r>
      <w:r>
        <w:rPr>
          <w:rStyle w:val="27"/>
          <w:rFonts w:ascii="Times New Roman"/>
        </w:rPr>
        <w:instrText xml:space="preserve"> PAGEREF _Toc150595445 \h </w:instrText>
      </w:r>
      <w:r>
        <w:rPr>
          <w:rStyle w:val="27"/>
          <w:rFonts w:ascii="Times New Roman"/>
        </w:rPr>
        <w:fldChar w:fldCharType="separate"/>
      </w:r>
      <w:r>
        <w:rPr>
          <w:rStyle w:val="27"/>
          <w:rFonts w:ascii="Times New Roman"/>
        </w:rPr>
        <w:t>39</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"_Toc150595446" </w:instrText>
      </w:r>
      <w:r>
        <w:fldChar w:fldCharType="separate"/>
      </w:r>
      <w:r>
        <w:rPr>
          <w:rStyle w:val="27"/>
          <w:rFonts w:ascii="Times New Roman"/>
        </w:rPr>
        <w:t>第二节  发展思路</w:t>
      </w:r>
      <w:r>
        <w:rPr>
          <w:rStyle w:val="27"/>
          <w:rFonts w:ascii="Times New Roman"/>
        </w:rPr>
        <w:tab/>
      </w:r>
      <w:r>
        <w:rPr>
          <w:rStyle w:val="27"/>
          <w:rFonts w:ascii="Times New Roman"/>
        </w:rPr>
        <w:fldChar w:fldCharType="begin"/>
      </w:r>
      <w:r>
        <w:rPr>
          <w:rStyle w:val="27"/>
          <w:rFonts w:ascii="Times New Roman"/>
        </w:rPr>
        <w:instrText xml:space="preserve"> PAGEREF _Toc150595446 \h </w:instrText>
      </w:r>
      <w:r>
        <w:rPr>
          <w:rStyle w:val="27"/>
          <w:rFonts w:ascii="Times New Roman"/>
        </w:rPr>
        <w:fldChar w:fldCharType="separate"/>
      </w:r>
      <w:r>
        <w:rPr>
          <w:rStyle w:val="27"/>
          <w:rFonts w:ascii="Times New Roman"/>
        </w:rPr>
        <w:t>39</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"_Toc150595447" </w:instrText>
      </w:r>
      <w:r>
        <w:fldChar w:fldCharType="separate"/>
      </w:r>
      <w:r>
        <w:rPr>
          <w:rStyle w:val="27"/>
          <w:rFonts w:ascii="Times New Roman"/>
        </w:rPr>
        <w:t>第三节  预期目标</w:t>
      </w:r>
      <w:r>
        <w:rPr>
          <w:rStyle w:val="27"/>
          <w:rFonts w:ascii="Times New Roman"/>
        </w:rPr>
        <w:tab/>
      </w:r>
      <w:r>
        <w:rPr>
          <w:rStyle w:val="27"/>
          <w:rFonts w:ascii="Times New Roman"/>
        </w:rPr>
        <w:fldChar w:fldCharType="begin"/>
      </w:r>
      <w:r>
        <w:rPr>
          <w:rStyle w:val="27"/>
          <w:rFonts w:ascii="Times New Roman"/>
        </w:rPr>
        <w:instrText xml:space="preserve"> PAGEREF _Toc150595447 \h </w:instrText>
      </w:r>
      <w:r>
        <w:rPr>
          <w:rStyle w:val="27"/>
          <w:rFonts w:ascii="Times New Roman"/>
        </w:rPr>
        <w:fldChar w:fldCharType="separate"/>
      </w:r>
      <w:r>
        <w:rPr>
          <w:rStyle w:val="27"/>
          <w:rFonts w:ascii="Times New Roman"/>
        </w:rPr>
        <w:t>40</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"_Toc150595448" </w:instrText>
      </w:r>
      <w:r>
        <w:fldChar w:fldCharType="separate"/>
      </w:r>
      <w:r>
        <w:rPr>
          <w:rStyle w:val="27"/>
          <w:rFonts w:ascii="Times New Roman"/>
        </w:rPr>
        <w:t>第四节  重点任务</w:t>
      </w:r>
      <w:r>
        <w:rPr>
          <w:rStyle w:val="27"/>
          <w:rFonts w:ascii="Times New Roman"/>
        </w:rPr>
        <w:tab/>
      </w:r>
      <w:r>
        <w:rPr>
          <w:rStyle w:val="27"/>
          <w:rFonts w:ascii="Times New Roman"/>
        </w:rPr>
        <w:fldChar w:fldCharType="begin"/>
      </w:r>
      <w:r>
        <w:rPr>
          <w:rStyle w:val="27"/>
          <w:rFonts w:ascii="Times New Roman"/>
        </w:rPr>
        <w:instrText xml:space="preserve"> PAGEREF _Toc150595448 \h </w:instrText>
      </w:r>
      <w:r>
        <w:rPr>
          <w:rStyle w:val="27"/>
          <w:rFonts w:ascii="Times New Roman"/>
        </w:rPr>
        <w:fldChar w:fldCharType="separate"/>
      </w:r>
      <w:r>
        <w:rPr>
          <w:rStyle w:val="27"/>
          <w:rFonts w:ascii="Times New Roman"/>
        </w:rPr>
        <w:t>41</w:t>
      </w:r>
      <w:r>
        <w:rPr>
          <w:rStyle w:val="27"/>
          <w:rFonts w:ascii="Times New Roman"/>
        </w:rPr>
        <w:fldChar w:fldCharType="end"/>
      </w:r>
      <w:r>
        <w:rPr>
          <w:rStyle w:val="27"/>
          <w:rFonts w:ascii="Times New Roman"/>
        </w:rPr>
        <w:fldChar w:fldCharType="end"/>
      </w:r>
    </w:p>
    <w:p>
      <w:pPr>
        <w:pStyle w:val="15"/>
        <w:tabs>
          <w:tab w:val="right" w:leader="dot" w:pos="9021"/>
        </w:tabs>
        <w:ind w:firstLine="0" w:firstLineChars="0"/>
        <w:jc w:val="right"/>
        <w:sectPr>
          <w:footerReference r:id="rId13" w:type="default"/>
          <w:footerReference r:id="rId14" w:type="even"/>
          <w:pgSz w:w="11906" w:h="16838"/>
          <w:pgMar w:top="1440" w:right="1287" w:bottom="1440" w:left="1588" w:header="851" w:footer="992" w:gutter="0"/>
          <w:cols w:space="425" w:num="1"/>
          <w:docGrid w:type="lines" w:linePitch="435" w:charSpace="0"/>
        </w:sectPr>
      </w:pP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"_Toc150595449" </w:instrText>
      </w:r>
      <w:r>
        <w:fldChar w:fldCharType="separate"/>
      </w:r>
      <w:r>
        <w:rPr>
          <w:rFonts w:eastAsia="方正黑体_GBK"/>
          <w:bCs/>
          <w:kern w:val="44"/>
          <w:szCs w:val="44"/>
        </w:rPr>
        <w:t>第六章  巩固提升其他特色产业</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_Toc150595449 \h </w:instrText>
      </w:r>
      <w:r>
        <w:rPr>
          <w:rFonts w:eastAsia="方正黑体_GBK"/>
          <w:bCs/>
          <w:kern w:val="44"/>
          <w:szCs w:val="44"/>
        </w:rPr>
        <w:fldChar w:fldCharType="separate"/>
      </w:r>
      <w:r>
        <w:rPr>
          <w:rFonts w:eastAsia="方正黑体_GBK"/>
          <w:bCs/>
          <w:kern w:val="44"/>
          <w:szCs w:val="44"/>
        </w:rPr>
        <w:t>44</w:t>
      </w:r>
      <w:r>
        <w:rPr>
          <w:rFonts w:eastAsia="方正黑体_GBK"/>
          <w:bCs/>
          <w:kern w:val="44"/>
          <w:szCs w:val="44"/>
        </w:rPr>
        <w:fldChar w:fldCharType="end"/>
      </w:r>
      <w:r>
        <w:rPr>
          <w:rFonts w:eastAsia="方正黑体_GBK"/>
          <w:bCs/>
          <w:kern w:val="44"/>
          <w:szCs w:val="44"/>
        </w:rPr>
        <w:fldChar w:fldCharType="end"/>
      </w:r>
    </w:p>
    <w:p>
      <w:pPr>
        <w:pStyle w:val="18"/>
        <w:ind w:left="-80" w:leftChars="-25"/>
        <w:jc w:val="right"/>
        <w:rPr>
          <w:rStyle w:val="27"/>
          <w:rFonts w:ascii="Times New Roman"/>
        </w:rPr>
      </w:pPr>
      <w:r>
        <w:fldChar w:fldCharType="begin"/>
      </w:r>
      <w:r>
        <w:instrText xml:space="preserve"> HYPERLINK \l "_Toc150595450" </w:instrText>
      </w:r>
      <w:r>
        <w:fldChar w:fldCharType="separate"/>
      </w:r>
      <w:r>
        <w:rPr>
          <w:rStyle w:val="27"/>
          <w:rFonts w:ascii="Times New Roman"/>
        </w:rPr>
        <w:t>第一节  发展思路</w:t>
      </w:r>
      <w:r>
        <w:rPr>
          <w:rStyle w:val="27"/>
          <w:rFonts w:ascii="Times New Roman"/>
        </w:rPr>
        <w:tab/>
      </w:r>
      <w:r>
        <w:rPr>
          <w:rStyle w:val="27"/>
          <w:rFonts w:ascii="Times New Roman"/>
        </w:rPr>
        <w:fldChar w:fldCharType="begin"/>
      </w:r>
      <w:r>
        <w:rPr>
          <w:rStyle w:val="27"/>
          <w:rFonts w:ascii="Times New Roman"/>
        </w:rPr>
        <w:instrText xml:space="preserve"> PAGEREF _Toc150595450 \h </w:instrText>
      </w:r>
      <w:r>
        <w:rPr>
          <w:rStyle w:val="27"/>
          <w:rFonts w:ascii="Times New Roman"/>
        </w:rPr>
        <w:fldChar w:fldCharType="separate"/>
      </w:r>
      <w:r>
        <w:rPr>
          <w:rStyle w:val="27"/>
          <w:rFonts w:ascii="Times New Roman"/>
        </w:rPr>
        <w:t>44</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"_Toc150595451" </w:instrText>
      </w:r>
      <w:r>
        <w:fldChar w:fldCharType="separate"/>
      </w:r>
      <w:r>
        <w:rPr>
          <w:rStyle w:val="27"/>
          <w:rFonts w:ascii="Times New Roman"/>
        </w:rPr>
        <w:t>第二节  预期目标</w:t>
      </w:r>
      <w:r>
        <w:rPr>
          <w:rStyle w:val="27"/>
          <w:rFonts w:ascii="Times New Roman"/>
        </w:rPr>
        <w:tab/>
      </w:r>
      <w:r>
        <w:rPr>
          <w:rStyle w:val="27"/>
          <w:rFonts w:ascii="Times New Roman"/>
        </w:rPr>
        <w:fldChar w:fldCharType="begin"/>
      </w:r>
      <w:r>
        <w:rPr>
          <w:rStyle w:val="27"/>
          <w:rFonts w:ascii="Times New Roman"/>
        </w:rPr>
        <w:instrText xml:space="preserve"> PAGEREF _Toc150595451 \h </w:instrText>
      </w:r>
      <w:r>
        <w:rPr>
          <w:rStyle w:val="27"/>
          <w:rFonts w:ascii="Times New Roman"/>
        </w:rPr>
        <w:fldChar w:fldCharType="separate"/>
      </w:r>
      <w:r>
        <w:rPr>
          <w:rStyle w:val="27"/>
          <w:rFonts w:ascii="Times New Roman"/>
        </w:rPr>
        <w:t>44</w:t>
      </w:r>
      <w:r>
        <w:rPr>
          <w:rStyle w:val="27"/>
          <w:rFonts w:ascii="Times New Roman"/>
        </w:rPr>
        <w:fldChar w:fldCharType="end"/>
      </w:r>
      <w:r>
        <w:rPr>
          <w:rStyle w:val="27"/>
          <w:rFonts w:ascii="Times New Roman"/>
        </w:rPr>
        <w:fldChar w:fldCharType="end"/>
      </w:r>
    </w:p>
    <w:p>
      <w:pPr>
        <w:pStyle w:val="18"/>
        <w:ind w:left="-80" w:leftChars="-25"/>
        <w:jc w:val="right"/>
        <w:rPr>
          <w:rStyle w:val="27"/>
        </w:rPr>
      </w:pPr>
      <w:r>
        <w:fldChar w:fldCharType="begin"/>
      </w:r>
      <w:r>
        <w:instrText xml:space="preserve"> HYPERLINK \l "_Toc150595452" </w:instrText>
      </w:r>
      <w:r>
        <w:fldChar w:fldCharType="separate"/>
      </w:r>
      <w:r>
        <w:rPr>
          <w:rStyle w:val="27"/>
          <w:rFonts w:ascii="Times New Roman"/>
        </w:rPr>
        <w:t>第三节  重点任务</w:t>
      </w:r>
      <w:r>
        <w:rPr>
          <w:rStyle w:val="27"/>
          <w:rFonts w:ascii="Times New Roman"/>
        </w:rPr>
        <w:tab/>
      </w:r>
      <w:r>
        <w:rPr>
          <w:rStyle w:val="27"/>
          <w:rFonts w:ascii="Times New Roman"/>
        </w:rPr>
        <w:fldChar w:fldCharType="begin"/>
      </w:r>
      <w:r>
        <w:rPr>
          <w:rStyle w:val="27"/>
          <w:rFonts w:ascii="Times New Roman"/>
        </w:rPr>
        <w:instrText xml:space="preserve"> PAGEREF _Toc150595452 \h </w:instrText>
      </w:r>
      <w:r>
        <w:rPr>
          <w:rStyle w:val="27"/>
          <w:rFonts w:ascii="Times New Roman"/>
        </w:rPr>
        <w:fldChar w:fldCharType="separate"/>
      </w:r>
      <w:r>
        <w:rPr>
          <w:rStyle w:val="27"/>
          <w:rFonts w:ascii="Times New Roman"/>
        </w:rPr>
        <w:t>45</w:t>
      </w:r>
      <w:r>
        <w:rPr>
          <w:rStyle w:val="27"/>
          <w:rFonts w:ascii="Times New Roman"/>
        </w:rPr>
        <w:fldChar w:fldCharType="end"/>
      </w:r>
      <w:r>
        <w:rPr>
          <w:rStyle w:val="27"/>
          <w:rFonts w:ascii="Times New Roman"/>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"_Toc150595453" </w:instrText>
      </w:r>
      <w:r>
        <w:fldChar w:fldCharType="separate"/>
      </w:r>
      <w:r>
        <w:rPr>
          <w:rFonts w:eastAsia="方正黑体_GBK"/>
          <w:bCs/>
          <w:kern w:val="44"/>
          <w:szCs w:val="44"/>
        </w:rPr>
        <w:t>第七章  加快特色产业高质量发展</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_Toc150595453 \h </w:instrText>
      </w:r>
      <w:r>
        <w:rPr>
          <w:rFonts w:eastAsia="方正黑体_GBK"/>
          <w:bCs/>
          <w:kern w:val="44"/>
          <w:szCs w:val="44"/>
        </w:rPr>
        <w:fldChar w:fldCharType="separate"/>
      </w:r>
      <w:r>
        <w:rPr>
          <w:rFonts w:eastAsia="方正黑体_GBK"/>
          <w:bCs/>
          <w:kern w:val="44"/>
          <w:szCs w:val="44"/>
        </w:rPr>
        <w:t>49</w:t>
      </w:r>
      <w:r>
        <w:rPr>
          <w:rFonts w:eastAsia="方正黑体_GBK"/>
          <w:bCs/>
          <w:kern w:val="44"/>
          <w:szCs w:val="44"/>
        </w:rPr>
        <w:fldChar w:fldCharType="end"/>
      </w:r>
      <w:r>
        <w:rPr>
          <w:rFonts w:eastAsia="方正黑体_GBK"/>
          <w:bCs/>
          <w:kern w:val="44"/>
          <w:szCs w:val="44"/>
        </w:rPr>
        <w:fldChar w:fldCharType="end"/>
      </w:r>
    </w:p>
    <w:p>
      <w:pPr>
        <w:pStyle w:val="18"/>
        <w:ind w:left="-80" w:leftChars="-25"/>
        <w:jc w:val="right"/>
        <w:rPr>
          <w:rStyle w:val="27"/>
          <w:rFonts w:ascii="Times New Roman"/>
        </w:rPr>
      </w:pPr>
      <w:r>
        <w:fldChar w:fldCharType="begin"/>
      </w:r>
      <w:r>
        <w:instrText xml:space="preserve"> HYPERLINK \l "_Toc150595454" </w:instrText>
      </w:r>
      <w:r>
        <w:fldChar w:fldCharType="separate"/>
      </w:r>
      <w:r>
        <w:rPr>
          <w:rStyle w:val="27"/>
          <w:rFonts w:ascii="Times New Roman"/>
        </w:rPr>
        <w:t>第一节  加快现代农业园区建设</w:t>
      </w:r>
      <w:r>
        <w:rPr>
          <w:rStyle w:val="27"/>
          <w:rFonts w:ascii="Times New Roman"/>
        </w:rPr>
        <w:tab/>
      </w:r>
      <w:r>
        <w:rPr>
          <w:rStyle w:val="27"/>
          <w:rFonts w:ascii="Times New Roman"/>
        </w:rPr>
        <w:fldChar w:fldCharType="begin"/>
      </w:r>
      <w:r>
        <w:rPr>
          <w:rStyle w:val="27"/>
          <w:rFonts w:ascii="Times New Roman"/>
        </w:rPr>
        <w:instrText xml:space="preserve"> PAGEREF _Toc150595454 \h </w:instrText>
      </w:r>
      <w:r>
        <w:rPr>
          <w:rStyle w:val="27"/>
          <w:rFonts w:ascii="Times New Roman"/>
        </w:rPr>
        <w:fldChar w:fldCharType="separate"/>
      </w:r>
      <w:r>
        <w:rPr>
          <w:rStyle w:val="27"/>
          <w:rFonts w:ascii="Times New Roman"/>
        </w:rPr>
        <w:t>49</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"_Toc150595455" </w:instrText>
      </w:r>
      <w:r>
        <w:fldChar w:fldCharType="separate"/>
      </w:r>
      <w:r>
        <w:rPr>
          <w:rStyle w:val="27"/>
          <w:rFonts w:ascii="Times New Roman"/>
        </w:rPr>
        <w:t>第二节  培育农业新型经营主体</w:t>
      </w:r>
      <w:r>
        <w:rPr>
          <w:rStyle w:val="27"/>
          <w:rFonts w:ascii="Times New Roman"/>
        </w:rPr>
        <w:tab/>
      </w:r>
      <w:r>
        <w:rPr>
          <w:rStyle w:val="27"/>
          <w:rFonts w:ascii="Times New Roman"/>
        </w:rPr>
        <w:fldChar w:fldCharType="begin"/>
      </w:r>
      <w:r>
        <w:rPr>
          <w:rStyle w:val="27"/>
          <w:rFonts w:ascii="Times New Roman"/>
        </w:rPr>
        <w:instrText xml:space="preserve"> PAGEREF _Toc150595455 \h </w:instrText>
      </w:r>
      <w:r>
        <w:rPr>
          <w:rStyle w:val="27"/>
          <w:rFonts w:ascii="Times New Roman"/>
        </w:rPr>
        <w:fldChar w:fldCharType="separate"/>
      </w:r>
      <w:r>
        <w:rPr>
          <w:rStyle w:val="27"/>
          <w:rFonts w:ascii="Times New Roman"/>
        </w:rPr>
        <w:t>52</w:t>
      </w:r>
      <w:r>
        <w:rPr>
          <w:rStyle w:val="27"/>
          <w:rFonts w:ascii="Times New Roman"/>
        </w:rPr>
        <w:fldChar w:fldCharType="end"/>
      </w:r>
      <w:r>
        <w:rPr>
          <w:rStyle w:val="27"/>
          <w:rFonts w:ascii="Times New Roman"/>
        </w:rPr>
        <w:fldChar w:fldCharType="end"/>
      </w:r>
    </w:p>
    <w:p>
      <w:pPr>
        <w:pStyle w:val="18"/>
        <w:ind w:left="-80" w:leftChars="-25"/>
        <w:jc w:val="right"/>
        <w:rPr>
          <w:rStyle w:val="27"/>
        </w:rPr>
      </w:pPr>
      <w:r>
        <w:fldChar w:fldCharType="begin"/>
      </w:r>
      <w:r>
        <w:instrText xml:space="preserve"> HYPERLINK \l "_Toc150595456" </w:instrText>
      </w:r>
      <w:r>
        <w:fldChar w:fldCharType="separate"/>
      </w:r>
      <w:r>
        <w:rPr>
          <w:rStyle w:val="27"/>
          <w:rFonts w:ascii="Times New Roman"/>
        </w:rPr>
        <w:t>第三节  健全完善联农带农机制</w:t>
      </w:r>
      <w:r>
        <w:rPr>
          <w:rStyle w:val="27"/>
          <w:rFonts w:ascii="Times New Roman"/>
        </w:rPr>
        <w:tab/>
      </w:r>
      <w:r>
        <w:rPr>
          <w:rStyle w:val="27"/>
          <w:rFonts w:ascii="Times New Roman"/>
        </w:rPr>
        <w:fldChar w:fldCharType="begin"/>
      </w:r>
      <w:r>
        <w:rPr>
          <w:rStyle w:val="27"/>
          <w:rFonts w:ascii="Times New Roman"/>
        </w:rPr>
        <w:instrText xml:space="preserve"> PAGEREF _Toc150595456 \h </w:instrText>
      </w:r>
      <w:r>
        <w:rPr>
          <w:rStyle w:val="27"/>
          <w:rFonts w:ascii="Times New Roman"/>
        </w:rPr>
        <w:fldChar w:fldCharType="separate"/>
      </w:r>
      <w:r>
        <w:rPr>
          <w:rStyle w:val="27"/>
          <w:rFonts w:ascii="Times New Roman"/>
        </w:rPr>
        <w:t>54</w:t>
      </w:r>
      <w:r>
        <w:rPr>
          <w:rStyle w:val="27"/>
          <w:rFonts w:ascii="Times New Roman"/>
        </w:rPr>
        <w:fldChar w:fldCharType="end"/>
      </w:r>
      <w:r>
        <w:rPr>
          <w:rStyle w:val="27"/>
          <w:rFonts w:ascii="Times New Roman"/>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"_Toc150595457" </w:instrText>
      </w:r>
      <w:r>
        <w:fldChar w:fldCharType="separate"/>
      </w:r>
      <w:r>
        <w:rPr>
          <w:rFonts w:eastAsia="方正黑体_GBK"/>
          <w:bCs/>
          <w:kern w:val="44"/>
          <w:szCs w:val="44"/>
        </w:rPr>
        <w:t>第八章  保障措施</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_Toc150595457 \h </w:instrText>
      </w:r>
      <w:r>
        <w:rPr>
          <w:rFonts w:eastAsia="方正黑体_GBK"/>
          <w:bCs/>
          <w:kern w:val="44"/>
          <w:szCs w:val="44"/>
        </w:rPr>
        <w:fldChar w:fldCharType="separate"/>
      </w:r>
      <w:r>
        <w:rPr>
          <w:rFonts w:eastAsia="方正黑体_GBK"/>
          <w:bCs/>
          <w:kern w:val="44"/>
          <w:szCs w:val="44"/>
        </w:rPr>
        <w:t>57</w:t>
      </w:r>
      <w:r>
        <w:rPr>
          <w:rFonts w:eastAsia="方正黑体_GBK"/>
          <w:bCs/>
          <w:kern w:val="44"/>
          <w:szCs w:val="44"/>
        </w:rPr>
        <w:fldChar w:fldCharType="end"/>
      </w:r>
      <w:r>
        <w:rPr>
          <w:rFonts w:eastAsia="方正黑体_GBK"/>
          <w:bCs/>
          <w:kern w:val="44"/>
          <w:szCs w:val="44"/>
        </w:rPr>
        <w:fldChar w:fldCharType="end"/>
      </w:r>
    </w:p>
    <w:p>
      <w:pPr>
        <w:pStyle w:val="18"/>
        <w:ind w:left="-80" w:leftChars="-25"/>
        <w:jc w:val="right"/>
        <w:rPr>
          <w:rStyle w:val="27"/>
          <w:rFonts w:ascii="Times New Roman"/>
        </w:rPr>
      </w:pPr>
      <w:r>
        <w:fldChar w:fldCharType="begin"/>
      </w:r>
      <w:r>
        <w:instrText xml:space="preserve"> HYPERLINK \l "_Toc150595458" </w:instrText>
      </w:r>
      <w:r>
        <w:fldChar w:fldCharType="separate"/>
      </w:r>
      <w:r>
        <w:rPr>
          <w:rStyle w:val="27"/>
          <w:rFonts w:ascii="Times New Roman"/>
        </w:rPr>
        <w:t>第一节  加强组织领导</w:t>
      </w:r>
      <w:r>
        <w:rPr>
          <w:rStyle w:val="27"/>
          <w:rFonts w:ascii="Times New Roman"/>
        </w:rPr>
        <w:tab/>
      </w:r>
      <w:r>
        <w:rPr>
          <w:rStyle w:val="27"/>
          <w:rFonts w:ascii="Times New Roman"/>
        </w:rPr>
        <w:fldChar w:fldCharType="begin"/>
      </w:r>
      <w:r>
        <w:rPr>
          <w:rStyle w:val="27"/>
          <w:rFonts w:ascii="Times New Roman"/>
        </w:rPr>
        <w:instrText xml:space="preserve"> PAGEREF _Toc150595458 \h </w:instrText>
      </w:r>
      <w:r>
        <w:rPr>
          <w:rStyle w:val="27"/>
          <w:rFonts w:ascii="Times New Roman"/>
        </w:rPr>
        <w:fldChar w:fldCharType="separate"/>
      </w:r>
      <w:r>
        <w:rPr>
          <w:rStyle w:val="27"/>
          <w:rFonts w:ascii="Times New Roman"/>
        </w:rPr>
        <w:t>57</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"_Toc150595459" </w:instrText>
      </w:r>
      <w:r>
        <w:fldChar w:fldCharType="separate"/>
      </w:r>
      <w:r>
        <w:rPr>
          <w:rStyle w:val="27"/>
          <w:rFonts w:ascii="Times New Roman"/>
        </w:rPr>
        <w:t>第二节  加强政策扶持</w:t>
      </w:r>
      <w:r>
        <w:rPr>
          <w:rStyle w:val="27"/>
          <w:rFonts w:ascii="Times New Roman"/>
        </w:rPr>
        <w:tab/>
      </w:r>
      <w:r>
        <w:rPr>
          <w:rStyle w:val="27"/>
          <w:rFonts w:ascii="Times New Roman"/>
        </w:rPr>
        <w:fldChar w:fldCharType="begin"/>
      </w:r>
      <w:r>
        <w:rPr>
          <w:rStyle w:val="27"/>
          <w:rFonts w:ascii="Times New Roman"/>
        </w:rPr>
        <w:instrText xml:space="preserve"> PAGEREF _Toc150595459 \h </w:instrText>
      </w:r>
      <w:r>
        <w:rPr>
          <w:rStyle w:val="27"/>
          <w:rFonts w:ascii="Times New Roman"/>
        </w:rPr>
        <w:fldChar w:fldCharType="separate"/>
      </w:r>
      <w:r>
        <w:rPr>
          <w:rStyle w:val="27"/>
          <w:rFonts w:ascii="Times New Roman"/>
        </w:rPr>
        <w:t>57</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"_Toc150595460" </w:instrText>
      </w:r>
      <w:r>
        <w:fldChar w:fldCharType="separate"/>
      </w:r>
      <w:r>
        <w:rPr>
          <w:rStyle w:val="27"/>
          <w:rFonts w:ascii="Times New Roman"/>
        </w:rPr>
        <w:t>第三节  加强土地保障</w:t>
      </w:r>
      <w:r>
        <w:rPr>
          <w:rStyle w:val="27"/>
          <w:rFonts w:ascii="Times New Roman"/>
        </w:rPr>
        <w:tab/>
      </w:r>
      <w:r>
        <w:rPr>
          <w:rStyle w:val="27"/>
          <w:rFonts w:ascii="Times New Roman"/>
        </w:rPr>
        <w:fldChar w:fldCharType="begin"/>
      </w:r>
      <w:r>
        <w:rPr>
          <w:rStyle w:val="27"/>
          <w:rFonts w:ascii="Times New Roman"/>
        </w:rPr>
        <w:instrText xml:space="preserve"> PAGEREF _Toc150595460 \h </w:instrText>
      </w:r>
      <w:r>
        <w:rPr>
          <w:rStyle w:val="27"/>
          <w:rFonts w:ascii="Times New Roman"/>
        </w:rPr>
        <w:fldChar w:fldCharType="separate"/>
      </w:r>
      <w:r>
        <w:rPr>
          <w:rStyle w:val="27"/>
          <w:rFonts w:ascii="Times New Roman"/>
        </w:rPr>
        <w:t>58</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"_Toc150595461" </w:instrText>
      </w:r>
      <w:r>
        <w:fldChar w:fldCharType="separate"/>
      </w:r>
      <w:r>
        <w:rPr>
          <w:rStyle w:val="27"/>
          <w:rFonts w:ascii="Times New Roman"/>
        </w:rPr>
        <w:t>第四节  加强资金保障</w:t>
      </w:r>
      <w:r>
        <w:rPr>
          <w:rStyle w:val="27"/>
          <w:rFonts w:ascii="Times New Roman"/>
        </w:rPr>
        <w:tab/>
      </w:r>
      <w:r>
        <w:rPr>
          <w:rStyle w:val="27"/>
          <w:rFonts w:ascii="Times New Roman"/>
        </w:rPr>
        <w:fldChar w:fldCharType="begin"/>
      </w:r>
      <w:r>
        <w:rPr>
          <w:rStyle w:val="27"/>
          <w:rFonts w:ascii="Times New Roman"/>
        </w:rPr>
        <w:instrText xml:space="preserve"> PAGEREF _Toc150595461 \h </w:instrText>
      </w:r>
      <w:r>
        <w:rPr>
          <w:rStyle w:val="27"/>
          <w:rFonts w:ascii="Times New Roman"/>
        </w:rPr>
        <w:fldChar w:fldCharType="separate"/>
      </w:r>
      <w:r>
        <w:rPr>
          <w:rStyle w:val="27"/>
          <w:rFonts w:ascii="Times New Roman"/>
        </w:rPr>
        <w:t>59</w:t>
      </w:r>
      <w:r>
        <w:rPr>
          <w:rStyle w:val="27"/>
          <w:rFonts w:ascii="Times New Roman"/>
        </w:rPr>
        <w:fldChar w:fldCharType="end"/>
      </w:r>
      <w:r>
        <w:rPr>
          <w:rStyle w:val="27"/>
          <w:rFonts w:ascii="Times New Roman"/>
        </w:rPr>
        <w:fldChar w:fldCharType="end"/>
      </w:r>
    </w:p>
    <w:p>
      <w:pPr>
        <w:pStyle w:val="18"/>
        <w:ind w:left="-80" w:leftChars="-25"/>
        <w:jc w:val="right"/>
        <w:rPr>
          <w:rStyle w:val="27"/>
          <w:rFonts w:ascii="Times New Roman"/>
        </w:rPr>
      </w:pPr>
      <w:r>
        <w:fldChar w:fldCharType="begin"/>
      </w:r>
      <w:r>
        <w:instrText xml:space="preserve"> HYPERLINK \l "_Toc150595462" </w:instrText>
      </w:r>
      <w:r>
        <w:fldChar w:fldCharType="separate"/>
      </w:r>
      <w:r>
        <w:rPr>
          <w:rStyle w:val="27"/>
          <w:rFonts w:ascii="Times New Roman"/>
        </w:rPr>
        <w:t>第五节  加强人才保障</w:t>
      </w:r>
      <w:r>
        <w:rPr>
          <w:rStyle w:val="27"/>
          <w:rFonts w:ascii="Times New Roman"/>
        </w:rPr>
        <w:tab/>
      </w:r>
      <w:r>
        <w:rPr>
          <w:rStyle w:val="27"/>
          <w:rFonts w:ascii="Times New Roman"/>
        </w:rPr>
        <w:fldChar w:fldCharType="begin"/>
      </w:r>
      <w:r>
        <w:rPr>
          <w:rStyle w:val="27"/>
          <w:rFonts w:ascii="Times New Roman"/>
        </w:rPr>
        <w:instrText xml:space="preserve"> PAGEREF _Toc150595462 \h </w:instrText>
      </w:r>
      <w:r>
        <w:rPr>
          <w:rStyle w:val="27"/>
          <w:rFonts w:ascii="Times New Roman"/>
        </w:rPr>
        <w:fldChar w:fldCharType="separate"/>
      </w:r>
      <w:r>
        <w:rPr>
          <w:rStyle w:val="27"/>
          <w:rFonts w:ascii="Times New Roman"/>
        </w:rPr>
        <w:t>59</w:t>
      </w:r>
      <w:r>
        <w:rPr>
          <w:rStyle w:val="27"/>
          <w:rFonts w:ascii="Times New Roman"/>
        </w:rPr>
        <w:fldChar w:fldCharType="end"/>
      </w:r>
      <w:r>
        <w:rPr>
          <w:rStyle w:val="27"/>
          <w:rFonts w:ascii="Times New Roman"/>
        </w:rPr>
        <w:fldChar w:fldCharType="end"/>
      </w:r>
    </w:p>
    <w:p>
      <w:pPr>
        <w:pStyle w:val="18"/>
        <w:ind w:left="-80" w:leftChars="-25"/>
        <w:jc w:val="right"/>
        <w:rPr>
          <w:rStyle w:val="27"/>
        </w:rPr>
      </w:pPr>
      <w:r>
        <w:fldChar w:fldCharType="begin"/>
      </w:r>
      <w:r>
        <w:instrText xml:space="preserve"> HYPERLINK \l "_Toc150595463" </w:instrText>
      </w:r>
      <w:r>
        <w:fldChar w:fldCharType="separate"/>
      </w:r>
      <w:r>
        <w:rPr>
          <w:rStyle w:val="27"/>
          <w:rFonts w:ascii="Times New Roman"/>
        </w:rPr>
        <w:t>第六节  强化考核激励</w:t>
      </w:r>
      <w:r>
        <w:rPr>
          <w:rStyle w:val="27"/>
          <w:rFonts w:ascii="Times New Roman"/>
        </w:rPr>
        <w:tab/>
      </w:r>
      <w:r>
        <w:rPr>
          <w:rStyle w:val="27"/>
          <w:rFonts w:ascii="Times New Roman"/>
        </w:rPr>
        <w:fldChar w:fldCharType="begin"/>
      </w:r>
      <w:r>
        <w:rPr>
          <w:rStyle w:val="27"/>
          <w:rFonts w:ascii="Times New Roman"/>
        </w:rPr>
        <w:instrText xml:space="preserve"> PAGEREF _Toc150595463 \h </w:instrText>
      </w:r>
      <w:r>
        <w:rPr>
          <w:rStyle w:val="27"/>
          <w:rFonts w:ascii="Times New Roman"/>
        </w:rPr>
        <w:fldChar w:fldCharType="separate"/>
      </w:r>
      <w:r>
        <w:rPr>
          <w:rStyle w:val="27"/>
          <w:rFonts w:ascii="Times New Roman"/>
        </w:rPr>
        <w:t>60</w:t>
      </w:r>
      <w:r>
        <w:rPr>
          <w:rStyle w:val="27"/>
          <w:rFonts w:ascii="Times New Roman"/>
        </w:rPr>
        <w:fldChar w:fldCharType="end"/>
      </w:r>
      <w:r>
        <w:rPr>
          <w:rStyle w:val="27"/>
          <w:rFonts w:ascii="Times New Roman"/>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"_Toc150595464" </w:instrText>
      </w:r>
      <w:r>
        <w:fldChar w:fldCharType="separate"/>
      </w:r>
      <w:r>
        <w:rPr>
          <w:rFonts w:eastAsia="方正黑体_GBK"/>
          <w:bCs/>
          <w:kern w:val="44"/>
          <w:szCs w:val="44"/>
        </w:rPr>
        <w:t>附表</w:t>
      </w:r>
      <w:r>
        <w:rPr>
          <w:rFonts w:eastAsia="方正黑体_GBK"/>
          <w:bCs/>
          <w:kern w:val="44"/>
          <w:szCs w:val="44"/>
        </w:rPr>
        <w:tab/>
      </w:r>
      <w:r>
        <w:rPr>
          <w:rFonts w:eastAsia="方正黑体_GBK"/>
          <w:bCs/>
          <w:kern w:val="44"/>
          <w:szCs w:val="44"/>
        </w:rPr>
        <w:fldChar w:fldCharType="end"/>
      </w:r>
      <w:r>
        <w:rPr>
          <w:rStyle w:val="27"/>
          <w:rFonts w:eastAsia="宋体"/>
          <w:spacing w:val="-4"/>
          <w:kern w:val="0"/>
          <w:szCs w:val="32"/>
        </w:rPr>
        <w:fldChar w:fldCharType="begin"/>
      </w:r>
      <w:r>
        <w:rPr>
          <w:rStyle w:val="27"/>
          <w:rFonts w:eastAsia="宋体"/>
          <w:spacing w:val="-4"/>
          <w:kern w:val="0"/>
          <w:szCs w:val="32"/>
        </w:rPr>
        <w:instrText xml:space="preserve"> PAGEREF _Toc150595463 \h </w:instrText>
      </w:r>
      <w:r>
        <w:rPr>
          <w:rStyle w:val="27"/>
          <w:rFonts w:eastAsia="宋体"/>
          <w:spacing w:val="-4"/>
          <w:kern w:val="0"/>
          <w:szCs w:val="32"/>
        </w:rPr>
        <w:fldChar w:fldCharType="separate"/>
      </w:r>
      <w:r>
        <w:rPr>
          <w:rStyle w:val="27"/>
          <w:rFonts w:eastAsia="宋体"/>
          <w:spacing w:val="-4"/>
          <w:kern w:val="0"/>
          <w:szCs w:val="32"/>
        </w:rPr>
        <w:t>60</w:t>
      </w:r>
      <w:r>
        <w:rPr>
          <w:rStyle w:val="27"/>
          <w:rFonts w:eastAsia="宋体"/>
          <w:spacing w:val="-4"/>
          <w:kern w:val="0"/>
          <w:szCs w:val="32"/>
        </w:rPr>
        <w:fldChar w:fldCharType="end"/>
      </w:r>
    </w:p>
    <w:p>
      <w:pPr>
        <w:pStyle w:val="15"/>
        <w:tabs>
          <w:tab w:val="right" w:leader="dot" w:pos="9021"/>
        </w:tabs>
        <w:ind w:firstLine="0" w:firstLineChars="0"/>
        <w:jc w:val="right"/>
        <w:rPr>
          <w:rFonts w:eastAsia="方正黑体_GBK"/>
          <w:bCs/>
          <w:kern w:val="44"/>
          <w:szCs w:val="44"/>
        </w:rPr>
      </w:pPr>
      <w:r>
        <w:fldChar w:fldCharType="begin"/>
      </w:r>
      <w:r>
        <w:instrText xml:space="preserve"> HYPERLINK \l "_Toc150595466" </w:instrText>
      </w:r>
      <w:r>
        <w:fldChar w:fldCharType="separate"/>
      </w:r>
      <w:r>
        <w:rPr>
          <w:rFonts w:eastAsia="方正黑体_GBK"/>
          <w:bCs/>
          <w:kern w:val="44"/>
          <w:szCs w:val="44"/>
        </w:rPr>
        <w:t>附图</w:t>
      </w:r>
      <w:r>
        <w:rPr>
          <w:rFonts w:eastAsia="方正黑体_GBK"/>
          <w:bCs/>
          <w:kern w:val="44"/>
          <w:szCs w:val="44"/>
        </w:rPr>
        <w:tab/>
      </w:r>
      <w:r>
        <w:rPr>
          <w:rFonts w:eastAsia="方正黑体_GBK"/>
          <w:bCs/>
          <w:kern w:val="44"/>
          <w:szCs w:val="44"/>
        </w:rPr>
        <w:fldChar w:fldCharType="begin"/>
      </w:r>
      <w:r>
        <w:rPr>
          <w:rFonts w:eastAsia="方正黑体_GBK"/>
          <w:bCs/>
          <w:kern w:val="44"/>
          <w:szCs w:val="44"/>
        </w:rPr>
        <w:instrText xml:space="preserve"> PAGEREF _Toc150595466 \h </w:instrText>
      </w:r>
      <w:r>
        <w:rPr>
          <w:rFonts w:eastAsia="方正黑体_GBK"/>
          <w:bCs/>
          <w:kern w:val="44"/>
          <w:szCs w:val="44"/>
        </w:rPr>
        <w:fldChar w:fldCharType="separate"/>
      </w:r>
      <w:r>
        <w:rPr>
          <w:rFonts w:eastAsia="方正黑体_GBK"/>
          <w:bCs/>
          <w:kern w:val="44"/>
          <w:szCs w:val="44"/>
        </w:rPr>
        <w:t>75</w:t>
      </w:r>
      <w:r>
        <w:rPr>
          <w:rFonts w:eastAsia="方正黑体_GBK"/>
          <w:bCs/>
          <w:kern w:val="44"/>
          <w:szCs w:val="44"/>
        </w:rPr>
        <w:fldChar w:fldCharType="end"/>
      </w:r>
      <w:r>
        <w:rPr>
          <w:rFonts w:eastAsia="方正黑体_GBK"/>
          <w:bCs/>
          <w:kern w:val="44"/>
          <w:szCs w:val="44"/>
        </w:rPr>
        <w:fldChar w:fldCharType="end"/>
      </w:r>
    </w:p>
    <w:p>
      <w:pPr>
        <w:pStyle w:val="3"/>
        <w:jc w:val="right"/>
        <w:sectPr>
          <w:footerReference r:id="rId15" w:type="default"/>
          <w:footerReference r:id="rId16" w:type="even"/>
          <w:pgSz w:w="11906" w:h="16838"/>
          <w:pgMar w:top="1440" w:right="1287" w:bottom="1440" w:left="1588" w:header="851" w:footer="992" w:gutter="0"/>
          <w:cols w:space="425" w:num="1"/>
          <w:docGrid w:type="lines" w:linePitch="435" w:charSpace="0"/>
        </w:sectPr>
      </w:pPr>
      <w:r>
        <w:rPr>
          <w:rFonts w:ascii="Times New Roman" w:hAnsi="Times New Roman"/>
        </w:rPr>
        <w:fldChar w:fldCharType="end"/>
      </w:r>
    </w:p>
    <w:p>
      <w:pPr>
        <w:ind w:firstLine="0" w:firstLineChars="0"/>
        <w:rPr>
          <w:szCs w:val="32"/>
        </w:rPr>
      </w:pPr>
    </w:p>
    <w:p>
      <w:pPr>
        <w:pStyle w:val="2"/>
      </w:pPr>
      <w:bookmarkStart w:id="3" w:name="_Toc130038209"/>
      <w:bookmarkStart w:id="4" w:name="_Toc109662062"/>
      <w:bookmarkStart w:id="5" w:name="_Toc150595426"/>
      <w:bookmarkStart w:id="6" w:name="_Toc137565646"/>
      <w:r>
        <w:rPr>
          <w:rFonts w:hint="eastAsia"/>
        </w:rPr>
        <w:t xml:space="preserve">前 </w:t>
      </w:r>
      <w:r>
        <w:t xml:space="preserve"> </w:t>
      </w:r>
      <w:r>
        <w:rPr>
          <w:rFonts w:hint="eastAsia"/>
        </w:rPr>
        <w:t>言</w:t>
      </w:r>
      <w:bookmarkEnd w:id="3"/>
      <w:bookmarkEnd w:id="4"/>
      <w:bookmarkEnd w:id="5"/>
      <w:bookmarkEnd w:id="6"/>
    </w:p>
    <w:p>
      <w:pPr>
        <w:ind w:firstLine="640"/>
        <w:rPr>
          <w:szCs w:val="32"/>
        </w:rPr>
      </w:pPr>
    </w:p>
    <w:p>
      <w:pPr>
        <w:ind w:firstLine="640"/>
      </w:pPr>
      <w:r>
        <w:rPr>
          <w:rFonts w:hint="eastAsia"/>
        </w:rPr>
        <w:t>“十四五”时期是柳南区全面开启社会主义现代化新征程的关键时期，是深入实施乡村振兴战略，衔接巩固脱贫攻坚成果，加快农业农村现代化发展的关键时期。</w:t>
      </w:r>
    </w:p>
    <w:p>
      <w:pPr>
        <w:ind w:firstLine="640"/>
      </w:pPr>
      <w:r>
        <w:rPr>
          <w:rFonts w:hint="eastAsia"/>
        </w:rPr>
        <w:t>为加快柳南区农业产业转型升级高质量发展，推进乡村振兴，实现柳州市“实业兴市，开放强柳”战略目标和农业现代化，依据《中共中央国务院关于实施乡村振兴战略的意见》《农业部关于推进农业供给侧结构性改革的实施意见》《广西乡村振兴战略规划（2018—2022年）》《广西推进农业农村现代化“十四五”规划》《柳州市实施乡村振兴战略规划（2018—2022年）》《柳州市柳南区国民经济和社会发展第十四个五年规划和二O三五年远景目标纲要》等文件编制本规划。</w:t>
      </w:r>
      <w:r>
        <w:rPr>
          <w:kern w:val="0"/>
        </w:rPr>
        <w:t>结合</w:t>
      </w:r>
      <w:r>
        <w:rPr>
          <w:rFonts w:hint="eastAsia"/>
          <w:kern w:val="0"/>
        </w:rPr>
        <w:t>柳南区</w:t>
      </w:r>
      <w:r>
        <w:rPr>
          <w:kern w:val="0"/>
        </w:rPr>
        <w:t>特色产业发展情况，</w:t>
      </w:r>
      <w:r>
        <w:rPr>
          <w:rFonts w:hint="eastAsia"/>
        </w:rPr>
        <w:t>明确农业农村现代化发展及特色产业规划的总体思路、目标及重点任务要求，</w:t>
      </w:r>
      <w:r>
        <w:rPr>
          <w:kern w:val="0"/>
        </w:rPr>
        <w:t>特</w:t>
      </w:r>
      <w:r>
        <w:rPr>
          <w:rFonts w:hint="eastAsia"/>
          <w:kern w:val="0"/>
        </w:rPr>
        <w:t>编</w:t>
      </w:r>
      <w:r>
        <w:rPr>
          <w:kern w:val="0"/>
        </w:rPr>
        <w:t>制</w:t>
      </w:r>
      <w:r>
        <w:rPr>
          <w:rFonts w:hint="eastAsia"/>
          <w:kern w:val="0"/>
        </w:rPr>
        <w:t>本规划</w:t>
      </w:r>
      <w:r>
        <w:rPr>
          <w:rFonts w:hint="eastAsia"/>
        </w:rPr>
        <w:t>。</w:t>
      </w:r>
    </w:p>
    <w:p>
      <w:pPr>
        <w:ind w:firstLine="640"/>
        <w:rPr>
          <w:kern w:val="0"/>
        </w:rPr>
      </w:pPr>
      <w:r>
        <w:rPr>
          <w:rFonts w:hint="eastAsia"/>
          <w:kern w:val="0"/>
        </w:rPr>
        <w:t>本规划产业范围</w:t>
      </w:r>
      <w:bookmarkStart w:id="7" w:name="_Hlk137214368"/>
      <w:r>
        <w:rPr>
          <w:rFonts w:hint="eastAsia"/>
          <w:kern w:val="0"/>
        </w:rPr>
        <w:t>以柳州螺蛳粉原材料产业（优质稻、豆角、竹笋、木耳、辣椒、螺蛳）为主，以家禽（肉鸭、蛋鸡）、桑蚕产业为辅，</w:t>
      </w:r>
      <w:bookmarkEnd w:id="7"/>
      <w:r>
        <w:rPr>
          <w:rFonts w:hint="eastAsia"/>
          <w:kern w:val="0"/>
        </w:rPr>
        <w:t>同步发展其他特色，构建柳南区一主两辅的特色产业发展格局，范围为柳南区全区所辖区域</w:t>
      </w:r>
      <w:r>
        <w:rPr>
          <w:kern w:val="0"/>
        </w:rPr>
        <w:t>3</w:t>
      </w:r>
      <w:r>
        <w:rPr>
          <w:rFonts w:hint="eastAsia"/>
          <w:kern w:val="0"/>
        </w:rPr>
        <w:t>个镇（太阳村镇、洛满镇、流山镇），8个街道、5</w:t>
      </w:r>
      <w:r>
        <w:rPr>
          <w:kern w:val="0"/>
        </w:rPr>
        <w:t>5</w:t>
      </w:r>
      <w:r>
        <w:rPr>
          <w:rFonts w:hint="eastAsia"/>
          <w:kern w:val="0"/>
        </w:rPr>
        <w:t>个社区、</w:t>
      </w:r>
      <w:r>
        <w:rPr>
          <w:kern w:val="0"/>
        </w:rPr>
        <w:t>39</w:t>
      </w:r>
      <w:r>
        <w:rPr>
          <w:rFonts w:hint="eastAsia"/>
          <w:kern w:val="0"/>
        </w:rPr>
        <w:t>个行政村、1个镇居委会、2个镇社区，规划期限为202</w:t>
      </w:r>
      <w:r>
        <w:rPr>
          <w:kern w:val="0"/>
        </w:rPr>
        <w:t>2</w:t>
      </w:r>
      <w:r>
        <w:rPr>
          <w:rFonts w:hint="eastAsia"/>
          <w:kern w:val="0"/>
        </w:rPr>
        <w:t>—2025年。</w:t>
      </w:r>
    </w:p>
    <w:p>
      <w:pPr>
        <w:ind w:firstLine="0" w:firstLineChars="0"/>
        <w:jc w:val="left"/>
        <w:rPr>
          <w:kern w:val="0"/>
        </w:rPr>
      </w:pPr>
      <w:bookmarkStart w:id="8" w:name="_Toc109662082"/>
      <w:r>
        <w:rPr>
          <w:color w:val="FF0000"/>
        </w:rPr>
        <w:br w:type="page"/>
      </w:r>
    </w:p>
    <w:p>
      <w:pPr>
        <w:ind w:firstLine="640"/>
      </w:pPr>
    </w:p>
    <w:p>
      <w:pPr>
        <w:pStyle w:val="2"/>
      </w:pPr>
      <w:bookmarkStart w:id="9" w:name="_Toc150595427"/>
      <w:r>
        <w:rPr>
          <w:rFonts w:hint="eastAsia"/>
        </w:rPr>
        <w:t>第一章  现实基础与发展环境</w:t>
      </w:r>
      <w:bookmarkEnd w:id="9"/>
    </w:p>
    <w:p>
      <w:pPr>
        <w:ind w:firstLine="640"/>
      </w:pPr>
    </w:p>
    <w:p>
      <w:pPr>
        <w:pStyle w:val="3"/>
        <w:rPr>
          <w:rFonts w:ascii="Times New Roman" w:hAnsi="Times New Roman"/>
        </w:rPr>
      </w:pPr>
      <w:bookmarkStart w:id="10" w:name="_Toc150595428"/>
      <w:r>
        <w:rPr>
          <w:rFonts w:hint="eastAsia" w:ascii="Times New Roman" w:hAnsi="Times New Roman"/>
        </w:rPr>
        <w:t>第一节  现实基础</w:t>
      </w:r>
      <w:bookmarkEnd w:id="10"/>
    </w:p>
    <w:p>
      <w:pPr>
        <w:pStyle w:val="4"/>
        <w:ind w:left="643" w:firstLine="0" w:firstLineChars="0"/>
      </w:pPr>
      <w:r>
        <w:rPr>
          <w:rFonts w:hint="eastAsia"/>
        </w:rPr>
        <w:t>一、社会经济现状</w:t>
      </w:r>
    </w:p>
    <w:p>
      <w:pPr>
        <w:ind w:firstLine="640"/>
        <w:rPr>
          <w:color w:val="auto"/>
          <w:highlight w:val="none"/>
        </w:rPr>
      </w:pPr>
      <w:r>
        <w:rPr>
          <w:rFonts w:hint="eastAsia"/>
          <w:color w:val="auto"/>
          <w:highlight w:val="none"/>
        </w:rPr>
        <w:t>2022年，柳南区生产总值完成5</w:t>
      </w:r>
      <w:r>
        <w:rPr>
          <w:color w:val="auto"/>
          <w:highlight w:val="none"/>
        </w:rPr>
        <w:t>66.50</w:t>
      </w:r>
      <w:r>
        <w:rPr>
          <w:rFonts w:hint="eastAsia"/>
          <w:color w:val="auto"/>
          <w:highlight w:val="none"/>
        </w:rPr>
        <w:t>亿元，同比增长1</w:t>
      </w:r>
      <w:r>
        <w:rPr>
          <w:color w:val="auto"/>
          <w:highlight w:val="none"/>
        </w:rPr>
        <w:t>.1%</w:t>
      </w:r>
      <w:r>
        <w:rPr>
          <w:rFonts w:hint="eastAsia"/>
          <w:color w:val="auto"/>
          <w:highlight w:val="none"/>
        </w:rPr>
        <w:t>，其中，第一产业增加值11.50亿元，比上年增长4.9%，第二产业增加值301.85亿元，增长4.0%，第三产业增加值253.14亿元，下降2.5%。三次产业结构为2.03:53.28:44.69。2</w:t>
      </w:r>
      <w:r>
        <w:rPr>
          <w:color w:val="auto"/>
          <w:highlight w:val="none"/>
        </w:rPr>
        <w:t>022</w:t>
      </w:r>
      <w:r>
        <w:rPr>
          <w:rFonts w:hint="eastAsia"/>
          <w:color w:val="auto"/>
          <w:highlight w:val="none"/>
        </w:rPr>
        <w:t>年柳南区农林牧渔业总产值1</w:t>
      </w:r>
      <w:r>
        <w:rPr>
          <w:color w:val="auto"/>
          <w:highlight w:val="none"/>
        </w:rPr>
        <w:t>7.62</w:t>
      </w:r>
      <w:r>
        <w:rPr>
          <w:rFonts w:hint="eastAsia"/>
          <w:color w:val="auto"/>
          <w:highlight w:val="none"/>
        </w:rPr>
        <w:t>亿元，比上年增长5</w:t>
      </w:r>
      <w:r>
        <w:rPr>
          <w:color w:val="auto"/>
          <w:highlight w:val="none"/>
        </w:rPr>
        <w:t>.5%</w:t>
      </w:r>
      <w:r>
        <w:rPr>
          <w:rFonts w:hint="eastAsia"/>
          <w:color w:val="auto"/>
          <w:highlight w:val="none"/>
        </w:rPr>
        <w:t>，农林牧渔等四大行业全面增长；全年居民人均可支配收入48530元，同比增长2.2%，其中，城镇居民人均可支配收入48538元，同比增长2.2%；农村居民人均可支配收入28861元，同比增长6.1%，高于广西居民人均可支配收入平均水平。</w:t>
      </w:r>
    </w:p>
    <w:p>
      <w:pPr>
        <w:pStyle w:val="4"/>
        <w:ind w:firstLine="643"/>
        <w:rPr>
          <w:color w:val="auto"/>
          <w:highlight w:val="none"/>
        </w:rPr>
      </w:pPr>
      <w:r>
        <w:rPr>
          <w:rFonts w:hint="eastAsia"/>
          <w:color w:val="auto"/>
          <w:highlight w:val="none"/>
        </w:rPr>
        <w:t>二、农业经济现状</w:t>
      </w:r>
    </w:p>
    <w:p>
      <w:pPr>
        <w:ind w:firstLine="640"/>
        <w:rPr>
          <w:color w:val="auto"/>
          <w:highlight w:val="none"/>
        </w:rPr>
      </w:pPr>
      <w:r>
        <w:rPr>
          <w:rFonts w:hint="eastAsia"/>
          <w:color w:val="auto"/>
          <w:highlight w:val="none"/>
        </w:rPr>
        <w:t>柳南区农业经济建设成效显著，2</w:t>
      </w:r>
      <w:r>
        <w:rPr>
          <w:color w:val="auto"/>
          <w:highlight w:val="none"/>
        </w:rPr>
        <w:t>022</w:t>
      </w:r>
      <w:r>
        <w:rPr>
          <w:rFonts w:hint="eastAsia"/>
          <w:color w:val="auto"/>
          <w:highlight w:val="none"/>
        </w:rPr>
        <w:t>农林牧渔业总产值达1</w:t>
      </w:r>
      <w:r>
        <w:rPr>
          <w:color w:val="auto"/>
          <w:highlight w:val="none"/>
        </w:rPr>
        <w:t>7.62</w:t>
      </w:r>
      <w:r>
        <w:rPr>
          <w:rFonts w:hint="eastAsia"/>
          <w:color w:val="auto"/>
          <w:highlight w:val="none"/>
        </w:rPr>
        <w:t>亿元，同比增长5</w:t>
      </w:r>
      <w:r>
        <w:rPr>
          <w:color w:val="auto"/>
          <w:highlight w:val="none"/>
        </w:rPr>
        <w:t>.5%</w:t>
      </w:r>
      <w:r>
        <w:rPr>
          <w:rFonts w:hint="eastAsia"/>
          <w:color w:val="auto"/>
          <w:highlight w:val="none"/>
        </w:rPr>
        <w:t>；其中，种植业产值增长1.6%，拉动总产值增长0.8个百分点；果蔬生产增势良好，蔬菜、水果、食用菌产量分别增长6.8%、6.5%和13.1%，拉动总产值分别增长1.3、0.6和0.5个百分点；林业由负转正并实现较快增长，产值增长26.25%，拉动总产值增长2.3个百分点；畜牧业产能持续恢复，产值增长6.0%，生猪出栏增长6.4%，猪肉产量增长7.3%，拉动总产值增长2.1个百分点。</w:t>
      </w:r>
    </w:p>
    <w:p>
      <w:pPr>
        <w:pStyle w:val="4"/>
        <w:ind w:firstLine="643"/>
        <w:rPr>
          <w:color w:val="auto"/>
          <w:highlight w:val="none"/>
        </w:rPr>
      </w:pPr>
      <w:r>
        <w:rPr>
          <w:rFonts w:hint="eastAsia"/>
          <w:color w:val="auto"/>
          <w:highlight w:val="none"/>
        </w:rPr>
        <w:t>三、地理交通条件</w:t>
      </w:r>
    </w:p>
    <w:p>
      <w:pPr>
        <w:ind w:firstLine="643"/>
        <w:rPr>
          <w:color w:val="auto"/>
          <w:highlight w:val="none"/>
        </w:rPr>
      </w:pPr>
      <w:r>
        <w:rPr>
          <w:rFonts w:hint="eastAsia"/>
          <w:b/>
          <w:bCs/>
          <w:color w:val="auto"/>
          <w:highlight w:val="none"/>
        </w:rPr>
        <w:t>地理区位：</w:t>
      </w:r>
      <w:r>
        <w:rPr>
          <w:rFonts w:hint="eastAsia"/>
          <w:color w:val="auto"/>
          <w:highlight w:val="none"/>
        </w:rPr>
        <w:t>柳州市柳南区位于柳州市区西北部，地势为西高东低，气候春早秋迟、夏长冬短；东邻鱼峰山，南有大龙潭，西靠大鹅山、文笔峰；西、南、北面与柳江区接壤，东北与柳北区、城中区隔河相望；地处北纬24°15′47″—24°23′25″，东经109°13′21″—109°24′29″，辖区面积541.37平方公里，辖3镇8个街道，55个城市社区，42个村（居）委会，市区建成区面积51.21平方公里。常住人口61.87万人，其中城镇常住人口58.61万人。</w:t>
      </w:r>
    </w:p>
    <w:p>
      <w:pPr>
        <w:ind w:firstLine="643"/>
        <w:rPr>
          <w:color w:val="auto"/>
          <w:highlight w:val="none"/>
        </w:rPr>
      </w:pPr>
      <w:r>
        <w:rPr>
          <w:rFonts w:hint="eastAsia"/>
          <w:b/>
          <w:bCs/>
          <w:color w:val="auto"/>
          <w:highlight w:val="none"/>
        </w:rPr>
        <w:t>交通条件：</w:t>
      </w:r>
      <w:r>
        <w:rPr>
          <w:rFonts w:hint="eastAsia"/>
          <w:color w:val="auto"/>
          <w:highlight w:val="none"/>
        </w:rPr>
        <w:t>柳南区位于柳州市西北部，柳南是柳州市的交通枢纽，是“桂中商埠”发源地、柳来河一体化的交汇区，柳州高铁站、西鹅铁路货运中心和柳州汽车总站、汽车南站坐落在辖区内，是西部陆海新通道的重要节点，工业基础雄厚，贸易物流发达，农业特色产业优势明显。柳州市是与东盟双向往来的产品加工贸易基地和物流中转基地城市，是西南出海大通道集散枢纽城市，是“一带一路”有机衔接门户的重要节点城市，也是西部大开发战略中西江经济带的龙头城市和核心城市。柳南市辖区内的柳州火车站是沟通西南与中南、华东、华南地区的重要铁路枢纽，湘桂、黔桂、焦柳铁路和衡柳高速铁路、柳南客运专线（柳南城际铁路）交汇于此，辖区内主要道路与南柳、桂柳、宜柳、环城高速公路形成网络。</w:t>
      </w:r>
    </w:p>
    <w:p>
      <w:pPr>
        <w:pStyle w:val="4"/>
        <w:ind w:firstLine="643"/>
        <w:rPr>
          <w:color w:val="auto"/>
          <w:highlight w:val="none"/>
        </w:rPr>
      </w:pPr>
      <w:r>
        <w:rPr>
          <w:rFonts w:hint="eastAsia"/>
          <w:color w:val="auto"/>
          <w:highlight w:val="none"/>
        </w:rPr>
        <w:t>四、自然环境条件</w:t>
      </w:r>
    </w:p>
    <w:p>
      <w:pPr>
        <w:ind w:firstLine="643"/>
        <w:rPr>
          <w:color w:val="auto"/>
          <w:highlight w:val="none"/>
        </w:rPr>
      </w:pPr>
      <w:r>
        <w:rPr>
          <w:rFonts w:hint="eastAsia"/>
          <w:b/>
          <w:bCs/>
          <w:color w:val="auto"/>
          <w:highlight w:val="none"/>
        </w:rPr>
        <w:t>地势地貌：</w:t>
      </w:r>
      <w:r>
        <w:rPr>
          <w:rFonts w:hint="eastAsia"/>
          <w:color w:val="auto"/>
          <w:highlight w:val="none"/>
        </w:rPr>
        <w:t>柳南区地势为西高东低，辖区西部部分为丘陵、石山地带，山峰连绵起伏，标高一般为260—280米，谷地面标高90—100米，相对高差近200米。东部街道地层面除零星分布的孤峰外，地面波状起伏。东部沟槽相间的低洼地地面相高差5～10米，地面标高80～100米。土壤类型主要有壤土、水稻土、石灰土、沙质土等；适宜发展螺蛳粉原材料、家禽、桑蚕等特色产业。</w:t>
      </w:r>
    </w:p>
    <w:p>
      <w:pPr>
        <w:ind w:firstLine="643"/>
        <w:rPr>
          <w:color w:val="auto"/>
          <w:highlight w:val="none"/>
        </w:rPr>
      </w:pPr>
      <w:r>
        <w:rPr>
          <w:rFonts w:hint="eastAsia"/>
          <w:b/>
          <w:bCs/>
          <w:color w:val="auto"/>
          <w:highlight w:val="none"/>
        </w:rPr>
        <w:t>水文条件：</w:t>
      </w:r>
      <w:r>
        <w:rPr>
          <w:rFonts w:hint="eastAsia"/>
          <w:color w:val="auto"/>
          <w:highlight w:val="none"/>
        </w:rPr>
        <w:t>柳南区水源丰富，给予特色产业发展建设良好的灌溉基础和水源空间；流经柳南区境域流域面积大于1万平方千米的河流有柳江，流域面积大于50平方千米的河流有柳江、大桥河、鹅江（竹鹅溪）、新圩河、龙江河共5条，规模以上地下水水源地3处。柳江流域面积58246平方千米，流经柳南区河段14.25千米，年径流量395.3亿立方米；大桥河流域面积717平方千米，流经柳南区河段5.47千米；鹅江流域面积71.8平方千米，河长18千米；新圩河流域面积59.9平方千米，河长14千米。</w:t>
      </w:r>
    </w:p>
    <w:p>
      <w:pPr>
        <w:ind w:firstLine="643"/>
        <w:rPr>
          <w:color w:val="auto"/>
          <w:highlight w:val="none"/>
        </w:rPr>
      </w:pPr>
      <w:r>
        <w:rPr>
          <w:rFonts w:hint="eastAsia"/>
          <w:b/>
          <w:bCs/>
          <w:color w:val="auto"/>
          <w:highlight w:val="none"/>
        </w:rPr>
        <w:t>气候条件：</w:t>
      </w:r>
      <w:r>
        <w:rPr>
          <w:rFonts w:hint="eastAsia"/>
          <w:color w:val="auto"/>
          <w:highlight w:val="none"/>
        </w:rPr>
        <w:t>柳南区属亚热带海洋性季风气候区，具有春早秋迟、夏长冬短的特点；对特色产业发展起到促进作用，夏季盛行偏南风，高温、多雨；冬季盛行偏北风，低温、少雨，雨热同季，无霜期长达328天，属湿润晚秋干春夏湿区，年平均相对湿度76%，适宜各类农作物种植发展。</w:t>
      </w:r>
    </w:p>
    <w:p>
      <w:pPr>
        <w:ind w:firstLine="640"/>
        <w:rPr>
          <w:color w:val="auto"/>
          <w:highlight w:val="none"/>
        </w:rPr>
      </w:pPr>
    </w:p>
    <w:p>
      <w:pPr>
        <w:pStyle w:val="3"/>
        <w:rPr>
          <w:rFonts w:ascii="Times New Roman" w:hAnsi="Times New Roman"/>
          <w:color w:val="auto"/>
          <w:highlight w:val="none"/>
        </w:rPr>
      </w:pPr>
      <w:bookmarkStart w:id="11" w:name="_Toc137565649"/>
      <w:bookmarkStart w:id="12" w:name="_Toc150595429"/>
      <w:r>
        <w:rPr>
          <w:rFonts w:hint="eastAsia" w:ascii="Times New Roman" w:hAnsi="Times New Roman"/>
          <w:color w:val="auto"/>
          <w:highlight w:val="none"/>
        </w:rPr>
        <w:t>第二节  特色产业发展成效</w:t>
      </w:r>
      <w:bookmarkEnd w:id="11"/>
      <w:bookmarkEnd w:id="12"/>
    </w:p>
    <w:p>
      <w:pPr>
        <w:ind w:firstLine="640"/>
        <w:rPr>
          <w:color w:val="auto"/>
          <w:highlight w:val="none"/>
        </w:rPr>
      </w:pPr>
      <w:r>
        <w:rPr>
          <w:rFonts w:hint="eastAsia"/>
          <w:color w:val="auto"/>
          <w:highlight w:val="none"/>
        </w:rPr>
        <w:t>“十三五”时期，柳南区围绕“四个打造”的总目标，全面深化各项改革，加快产业转型升级，积极推进科技创新，促进科研成果转化，大力实施精准扶贫，稳步提升全区经济高质量发展，人民群众收入和生活水平不断提高，特色产业发挥成效显著。</w:t>
      </w:r>
    </w:p>
    <w:p>
      <w:pPr>
        <w:pStyle w:val="4"/>
        <w:ind w:firstLine="643"/>
        <w:rPr>
          <w:color w:val="auto"/>
          <w:highlight w:val="none"/>
        </w:rPr>
      </w:pPr>
      <w:r>
        <w:rPr>
          <w:rFonts w:hint="eastAsia"/>
          <w:color w:val="auto"/>
          <w:highlight w:val="none"/>
        </w:rPr>
        <w:t>一、“一区两带一道菜”深化农业升级</w:t>
      </w:r>
    </w:p>
    <w:p>
      <w:pPr>
        <w:ind w:firstLine="640"/>
        <w:rPr>
          <w:color w:val="auto"/>
          <w:highlight w:val="none"/>
        </w:rPr>
      </w:pPr>
      <w:r>
        <w:rPr>
          <w:rFonts w:hint="eastAsia"/>
          <w:color w:val="auto"/>
          <w:highlight w:val="none"/>
        </w:rPr>
        <w:t>“十三五”期间，柳南区以建设“广西县区最美新农村”为目标，加速推进“一区两带一道菜”建设发展战略。一区：金太阳现代特色农业（核心）示范区，两带：山、水观光旅游带，即：文笔山观光旅游带，滨水休闲景观带，一道菜：韭黄炒鸡蛋。重点发展韭黄、蛋鸡、果蔬种植、星级农家乐等现代生态特优农业产业和城郊林下都市型休闲观光旅游业，加快传统农业转型升级。</w:t>
      </w:r>
    </w:p>
    <w:p>
      <w:pPr>
        <w:pStyle w:val="4"/>
        <w:ind w:firstLine="643"/>
        <w:rPr>
          <w:color w:val="auto"/>
          <w:highlight w:val="none"/>
        </w:rPr>
      </w:pPr>
      <w:r>
        <w:rPr>
          <w:rFonts w:hint="eastAsia"/>
          <w:color w:val="auto"/>
          <w:highlight w:val="none"/>
        </w:rPr>
        <w:t>二、一区一镇多基地成果显著</w:t>
      </w:r>
    </w:p>
    <w:p>
      <w:pPr>
        <w:ind w:firstLine="640"/>
        <w:rPr>
          <w:color w:val="auto"/>
          <w:highlight w:val="none"/>
        </w:rPr>
      </w:pPr>
      <w:r>
        <w:rPr>
          <w:rFonts w:hint="eastAsia"/>
          <w:color w:val="auto"/>
          <w:highlight w:val="none"/>
        </w:rPr>
        <w:t>柳南区加快螺蛳粉产业一区一镇多基地建设，占地130亩的特色螺蛳粉小镇生产集聚区、占地</w:t>
      </w:r>
      <w:r>
        <w:rPr>
          <w:color w:val="auto"/>
          <w:highlight w:val="none"/>
        </w:rPr>
        <w:t>1000</w:t>
      </w:r>
      <w:r>
        <w:rPr>
          <w:rFonts w:hint="eastAsia"/>
          <w:color w:val="auto"/>
          <w:highlight w:val="none"/>
        </w:rPr>
        <w:t>亩的标准化螺蛳养殖基地已建成，和平村川香坊螺蛳粉原材料初加工基地完成厂房主体建设，酸笋基地现已竣工投产。柳南区实施“林种结构调整”，竹笋基地面积达2万多亩。通过开展螺蛳粉及原材料加工企业的数字化提升建设，基本完成螺蛳粉产业大数据平台建设；螺蛳粉小镇旅游设施不断完善，打造全国首个以螺蛳粉为主题的特色小镇，于2020年获得国家发改委等七部委认定为国家农村产业融合发展示范园。</w:t>
      </w:r>
    </w:p>
    <w:p>
      <w:pPr>
        <w:pStyle w:val="4"/>
        <w:ind w:firstLine="643"/>
        <w:rPr>
          <w:color w:val="auto"/>
          <w:highlight w:val="none"/>
        </w:rPr>
      </w:pPr>
      <w:r>
        <w:rPr>
          <w:rFonts w:hint="eastAsia"/>
          <w:color w:val="auto"/>
          <w:highlight w:val="none"/>
        </w:rPr>
        <w:t>三、特色农业产业建设势头强劲</w:t>
      </w:r>
    </w:p>
    <w:p>
      <w:pPr>
        <w:ind w:firstLine="640"/>
        <w:rPr>
          <w:color w:val="auto"/>
          <w:highlight w:val="none"/>
        </w:rPr>
      </w:pPr>
      <w:r>
        <w:rPr>
          <w:rFonts w:hint="eastAsia"/>
          <w:color w:val="auto"/>
          <w:highlight w:val="none"/>
        </w:rPr>
        <w:t>“十三五”期间，柳南区通过建园区、聚集群、补链条，实现三次产业融合，柳南区金色太阳现代都市生态农业示范区、柳南区宏华蛋鸡生态养殖核心示范区获得自治区四星级农业示范区，成功获得农业农村部、财政部认定国家级现代农业产业园，螺蛳粉小镇继2018年获批创建广西特色小镇后，2019年再获评国家AAAA景区、纳入自治区文旅重大项目范畴，螺蛳粉产业园入选“第二批国家农村产业融合发展示范园”创建名单；截至2022年，柳南区共拥有5个特色产业示范区。</w:t>
      </w:r>
    </w:p>
    <w:p>
      <w:pPr>
        <w:pStyle w:val="4"/>
        <w:ind w:firstLine="643"/>
        <w:rPr>
          <w:color w:val="auto"/>
          <w:highlight w:val="none"/>
        </w:rPr>
      </w:pPr>
      <w:r>
        <w:rPr>
          <w:rFonts w:hint="eastAsia"/>
          <w:color w:val="auto"/>
          <w:highlight w:val="none"/>
        </w:rPr>
        <w:t>四、实现农业转型升级</w:t>
      </w:r>
    </w:p>
    <w:p>
      <w:pPr>
        <w:ind w:firstLine="640"/>
        <w:rPr>
          <w:color w:val="auto"/>
          <w:highlight w:val="none"/>
        </w:rPr>
      </w:pPr>
      <w:r>
        <w:rPr>
          <w:rFonts w:hint="eastAsia"/>
          <w:color w:val="auto"/>
          <w:highlight w:val="none"/>
        </w:rPr>
        <w:t>农业主导产业由韭黄、鸡蛋、果蔬种植拓展至螺蛳粉原材料相关种养殖产业，螺蛳养殖、豆角种植、竹笋种植实现“千千万”目标，建成了自治区四星级螺蛳粉辅料卤蛋、蛋鸡生态养殖示范区和鸭味原料孵化基地，养殖规模居广西第一，成为柳州市品种最多、面积最大的螺蛳粉原辅材料生产区，实现粮食、蔬菜年加工能力16万吨，预包装螺蛳粉日产能100万袋。百乐竹海公园建成投入使用，竹博园、小镇客厅、京东农场等一批具备现代农业特色的文旅项目顺利推进，实现传统农业转型升级。“十三五”末期，柳南区农村电子商务在广西率先完成示范县全覆盖。</w:t>
      </w:r>
    </w:p>
    <w:p>
      <w:pPr>
        <w:pStyle w:val="4"/>
        <w:ind w:firstLine="643"/>
        <w:rPr>
          <w:color w:val="auto"/>
          <w:highlight w:val="none"/>
        </w:rPr>
      </w:pPr>
      <w:r>
        <w:rPr>
          <w:rFonts w:hint="eastAsia"/>
          <w:color w:val="auto"/>
          <w:highlight w:val="none"/>
        </w:rPr>
        <w:t>五、循环农业示范带动</w:t>
      </w:r>
    </w:p>
    <w:p>
      <w:pPr>
        <w:ind w:firstLine="640"/>
        <w:rPr>
          <w:rFonts w:cs="仿宋_GB2312"/>
          <w:color w:val="auto"/>
          <w:szCs w:val="32"/>
          <w:highlight w:val="none"/>
        </w:rPr>
      </w:pPr>
      <w:r>
        <w:rPr>
          <w:rFonts w:hint="eastAsia" w:cs="仿宋_GB2312"/>
          <w:color w:val="auto"/>
          <w:kern w:val="0"/>
          <w:szCs w:val="32"/>
          <w:highlight w:val="none"/>
          <w:lang w:val="zh-CN"/>
        </w:rPr>
        <w:t>柳南区着力于项目建设与</w:t>
      </w:r>
      <w:r>
        <w:rPr>
          <w:rFonts w:hint="eastAsia" w:cs="仿宋_GB2312"/>
          <w:color w:val="auto"/>
          <w:kern w:val="0"/>
          <w:szCs w:val="32"/>
          <w:highlight w:val="none"/>
        </w:rPr>
        <w:t>循环农业</w:t>
      </w:r>
      <w:r>
        <w:rPr>
          <w:rFonts w:hint="eastAsia" w:cs="仿宋_GB2312"/>
          <w:color w:val="auto"/>
          <w:kern w:val="0"/>
          <w:szCs w:val="32"/>
          <w:highlight w:val="none"/>
          <w:lang w:val="zh-CN"/>
        </w:rPr>
        <w:t>相结合，在</w:t>
      </w:r>
      <w:r>
        <w:rPr>
          <w:rFonts w:hint="eastAsia" w:cs="仿宋_GB2312"/>
          <w:color w:val="auto"/>
          <w:szCs w:val="32"/>
          <w:highlight w:val="none"/>
        </w:rPr>
        <w:t>现代特色农业核心示范区内</w:t>
      </w:r>
      <w:r>
        <w:rPr>
          <w:rFonts w:hint="eastAsia" w:cs="仿宋_GB2312"/>
          <w:color w:val="auto"/>
          <w:szCs w:val="32"/>
          <w:highlight w:val="none"/>
          <w:lang w:val="zh-CN"/>
        </w:rPr>
        <w:t>建立家禽无害化区，病死禽无害化处理率达100%。</w:t>
      </w:r>
      <w:r>
        <w:rPr>
          <w:rFonts w:hint="eastAsia" w:cs="仿宋_GB2312"/>
          <w:color w:val="auto"/>
          <w:szCs w:val="32"/>
          <w:highlight w:val="none"/>
        </w:rPr>
        <w:t>构建了现代化循环农业发展体系，</w:t>
      </w:r>
      <w:r>
        <w:rPr>
          <w:rFonts w:hint="eastAsia" w:cs="仿宋_GB2312"/>
          <w:color w:val="auto"/>
          <w:szCs w:val="32"/>
          <w:highlight w:val="none"/>
          <w:lang w:val="zh-CN"/>
        </w:rPr>
        <w:t>建成有机肥处理加工场</w:t>
      </w:r>
      <w:r>
        <w:rPr>
          <w:rFonts w:hint="eastAsia" w:cs="仿宋_GB2312"/>
          <w:color w:val="auto"/>
          <w:szCs w:val="32"/>
          <w:highlight w:val="none"/>
        </w:rPr>
        <w:t>一个</w:t>
      </w:r>
      <w:r>
        <w:rPr>
          <w:rFonts w:hint="eastAsia" w:cs="仿宋_GB2312"/>
          <w:color w:val="auto"/>
          <w:szCs w:val="32"/>
          <w:highlight w:val="none"/>
          <w:lang w:val="zh-CN"/>
        </w:rPr>
        <w:t>，利用微生物发酵技术</w:t>
      </w:r>
      <w:r>
        <w:rPr>
          <w:rFonts w:hint="eastAsia" w:cs="仿宋_GB2312"/>
          <w:color w:val="auto"/>
          <w:szCs w:val="32"/>
          <w:highlight w:val="none"/>
        </w:rPr>
        <w:t>处理</w:t>
      </w:r>
      <w:r>
        <w:rPr>
          <w:rFonts w:hint="eastAsia" w:cs="仿宋_GB2312"/>
          <w:color w:val="auto"/>
          <w:szCs w:val="32"/>
          <w:highlight w:val="none"/>
          <w:lang w:val="zh-CN"/>
        </w:rPr>
        <w:t>鸡粪，年处理量达到2万吨，处理率达100%；</w:t>
      </w:r>
      <w:r>
        <w:rPr>
          <w:rFonts w:hint="eastAsia" w:cs="仿宋_GB2312"/>
          <w:color w:val="auto"/>
          <w:szCs w:val="32"/>
          <w:highlight w:val="none"/>
        </w:rPr>
        <w:t>生产的有机肥有效用于螺蛳养殖和豆角、竹笋、水稻等螺蛳粉产业原材料种植生产。现代生态养殖场创建任务超额完成。2017年至2019年，成功创建12家广西畜禽现代生态养殖场。</w:t>
      </w:r>
    </w:p>
    <w:p>
      <w:pPr>
        <w:pStyle w:val="4"/>
        <w:ind w:firstLine="643"/>
        <w:rPr>
          <w:color w:val="auto"/>
          <w:highlight w:val="none"/>
        </w:rPr>
      </w:pPr>
      <w:r>
        <w:rPr>
          <w:rFonts w:hint="eastAsia"/>
          <w:color w:val="auto"/>
          <w:highlight w:val="none"/>
        </w:rPr>
        <w:t>六、创新驱动发展取得新突破</w:t>
      </w:r>
    </w:p>
    <w:p>
      <w:pPr>
        <w:ind w:firstLine="640"/>
        <w:rPr>
          <w:color w:val="auto"/>
          <w:highlight w:val="none"/>
        </w:rPr>
      </w:pPr>
      <w:r>
        <w:rPr>
          <w:rFonts w:hint="eastAsia"/>
          <w:color w:val="auto"/>
          <w:highlight w:val="none"/>
        </w:rPr>
        <w:t>柳南区不断强化科技支撑建设，“十三五”以来，科技企业研发投入稳步增长，累计投入超过2000亿元，占广西总投入的1/2，研发投入强度始终位居广西第一。累计新增高新技术企业400家，总量突破600家，占广西的1/3以上；累计建成2家国家级和3家自治区级小微企业创业创新基地。建成国家级工程技术研究中心1家，自治区级工程技术研究中心8家，市级工程技术研究中心17家，获广西创新型企业称号4个，108家企业成为科技型中小企业；国家CNAS实验室1家，国家级孵化器1家，自治区级孵化器3家，众创空间3家，市级孵化器1家，众创空间6家，各类创业孵化基地共17家。高新技术企业保有量增长到76家。发明专利申请量和授权量居于全市（县）区第一，具有自主知识产权的产品产值占全部工业产值的50%以上。</w:t>
      </w:r>
    </w:p>
    <w:p>
      <w:pPr>
        <w:pStyle w:val="4"/>
        <w:ind w:firstLine="643"/>
        <w:rPr>
          <w:color w:val="auto"/>
          <w:highlight w:val="none"/>
        </w:rPr>
      </w:pPr>
      <w:r>
        <w:rPr>
          <w:rFonts w:hint="eastAsia"/>
          <w:color w:val="auto"/>
          <w:highlight w:val="none"/>
        </w:rPr>
        <w:t>七、产业扶贫效益显著</w:t>
      </w:r>
    </w:p>
    <w:p>
      <w:pPr>
        <w:ind w:firstLine="640"/>
        <w:rPr>
          <w:color w:val="auto"/>
          <w:highlight w:val="none"/>
        </w:rPr>
      </w:pPr>
      <w:r>
        <w:rPr>
          <w:rFonts w:hint="eastAsia"/>
          <w:color w:val="auto"/>
          <w:highlight w:val="none"/>
        </w:rPr>
        <w:t>“十三五”以来，柳南区始终把脱贫攻坚作为头等大事和一号工程，紧盯“两不愁三保障”目标，抓重点、补短板、强弱项，举全区之力推进脱贫攻坚，全面打响脱贫攻坚战。“十三五”柳南区合计投入扶贫资金3817万元，建设屯级道路项目61个，完成23个危桥改造、涵洞项目，20个小型渠道项目，农村基础设施焕然一新，村集体经济进一步笃实。柳南区原有6个贫困村，建档立卡户1018户3333人，2019年已经全部实现脱贫摘帽；至2020年底，柳南区所有行政村集体经济年收入均达5万元以上，全区建档立卡贫困人口3333人，100%参加基本医疗保险，6个脱贫村城乡居民医保参保率均达98%以上；流山镇整合3</w:t>
      </w:r>
      <w:r>
        <w:rPr>
          <w:color w:val="auto"/>
          <w:highlight w:val="none"/>
        </w:rPr>
        <w:t>50</w:t>
      </w:r>
      <w:r>
        <w:rPr>
          <w:rFonts w:hint="eastAsia"/>
          <w:color w:val="auto"/>
          <w:highlight w:val="none"/>
        </w:rPr>
        <w:t>万元财政扶持资金，有党员致富带头人韦海波引进企业投资1000万元，共同实施了流山镇蚕茧缫丝厂项目，带动1</w:t>
      </w:r>
      <w:r>
        <w:rPr>
          <w:color w:val="auto"/>
          <w:highlight w:val="none"/>
        </w:rPr>
        <w:t>50</w:t>
      </w:r>
      <w:r>
        <w:rPr>
          <w:rFonts w:hint="eastAsia"/>
          <w:color w:val="auto"/>
          <w:highlight w:val="none"/>
        </w:rPr>
        <w:t>人就近就业，8个村集体固定收益分红3万至6万元。</w:t>
      </w:r>
    </w:p>
    <w:p>
      <w:pPr>
        <w:pStyle w:val="4"/>
        <w:ind w:firstLine="643"/>
        <w:rPr>
          <w:color w:val="auto"/>
          <w:highlight w:val="none"/>
        </w:rPr>
      </w:pPr>
      <w:r>
        <w:rPr>
          <w:rFonts w:hint="eastAsia"/>
          <w:color w:val="auto"/>
          <w:highlight w:val="none"/>
        </w:rPr>
        <w:t>八、特色产业扩面提质</w:t>
      </w:r>
    </w:p>
    <w:p>
      <w:pPr>
        <w:ind w:firstLine="640"/>
        <w:rPr>
          <w:color w:val="auto"/>
          <w:highlight w:val="none"/>
        </w:rPr>
      </w:pPr>
      <w:r>
        <w:rPr>
          <w:rFonts w:hint="eastAsia"/>
          <w:color w:val="auto"/>
          <w:highlight w:val="none"/>
        </w:rPr>
        <w:t>柳南区在“十三五”期间加快特色产业建设，到“十三五”末期，柳南区种植麻竹达到20000亩、豆角1200亩、水稻3.85万亩，螺蛳养殖2500亩、蛋鸡养殖</w:t>
      </w:r>
      <w:r>
        <w:rPr>
          <w:color w:val="auto"/>
          <w:highlight w:val="none"/>
        </w:rPr>
        <w:t>80</w:t>
      </w:r>
      <w:r>
        <w:rPr>
          <w:rFonts w:hint="eastAsia"/>
          <w:color w:val="auto"/>
          <w:highlight w:val="none"/>
        </w:rPr>
        <w:t>万羽、肉鸭年孵化量超1亿羽，带动酸笋、酸豆角、螺蛳、鸭脚等螺蛳粉原材料深加工发展；据统计，2020年柳南区国家现代农业产业园总产值64.7亿元，农民人均可支配收入2.42万元；袋装螺蛳粉及带动农产品生产初加工年产值超过60亿元；流山镇全镇种植桑叶达到1</w:t>
      </w:r>
      <w:r>
        <w:rPr>
          <w:color w:val="auto"/>
          <w:highlight w:val="none"/>
        </w:rPr>
        <w:t>.5</w:t>
      </w:r>
      <w:r>
        <w:rPr>
          <w:rFonts w:hint="eastAsia"/>
          <w:color w:val="auto"/>
          <w:highlight w:val="none"/>
        </w:rPr>
        <w:t>万亩以上，鲜茧年产量0</w:t>
      </w:r>
      <w:r>
        <w:rPr>
          <w:color w:val="auto"/>
          <w:highlight w:val="none"/>
        </w:rPr>
        <w:t>.25</w:t>
      </w:r>
      <w:r>
        <w:rPr>
          <w:rFonts w:hint="eastAsia"/>
          <w:color w:val="auto"/>
          <w:highlight w:val="none"/>
        </w:rPr>
        <w:t>万吨，产值过亿元。</w:t>
      </w:r>
    </w:p>
    <w:p>
      <w:pPr>
        <w:pStyle w:val="4"/>
        <w:ind w:firstLine="643"/>
        <w:rPr>
          <w:color w:val="auto"/>
          <w:highlight w:val="none"/>
        </w:rPr>
      </w:pPr>
      <w:r>
        <w:rPr>
          <w:rFonts w:hint="eastAsia"/>
          <w:color w:val="auto"/>
          <w:highlight w:val="none"/>
        </w:rPr>
        <w:t>九、“十三五”成效衔接乡村振兴建设</w:t>
      </w:r>
    </w:p>
    <w:p>
      <w:pPr>
        <w:ind w:firstLine="640"/>
        <w:rPr>
          <w:color w:val="auto"/>
          <w:highlight w:val="none"/>
        </w:rPr>
      </w:pPr>
      <w:r>
        <w:rPr>
          <w:rFonts w:hint="eastAsia"/>
          <w:color w:val="auto"/>
          <w:highlight w:val="none"/>
        </w:rPr>
        <w:t>柳南区深化推进特色产业年度建设，促进“十三五”建设成效衔接乡村振兴发展，有效巩固脱贫攻坚成果，为“十四五”建设提供创新发展活力。2022年柳南区出台《柳南区加强2022年柳州螺蛳粉原材料基地建设及推进乡村振兴特色产业发展实施方案》，安排1300万元衔接资金用于螺蛳粉原材料的产业奖补和基地建设，其中，已通过验收合格并发放产业奖补的豆角636.84亩、稻螺297.18亩、木耳63.54万棒、笋用竹4777.7亩。柳南政府通过送岗上门、专场招聘、开发公益性岗位、培育就业、帮扶车间等方式，全力推进乡村振兴防返贫，保障脱贫劳动力的稳岗就业工作，目前全区脱贫劳动力实现就业1572人，完成上级下达任务105%；通</w:t>
      </w:r>
      <w:r>
        <w:rPr>
          <w:rFonts w:hint="eastAsia"/>
          <w:color w:val="auto"/>
          <w:spacing w:val="-4"/>
          <w:highlight w:val="none"/>
        </w:rPr>
        <w:t>过开发公益性岗位，实现安置脱贫人口338人、监测户劳动力54人。</w:t>
      </w:r>
    </w:p>
    <w:p>
      <w:pPr>
        <w:ind w:firstLine="640"/>
        <w:rPr>
          <w:color w:val="auto"/>
          <w:highlight w:val="none"/>
        </w:rPr>
      </w:pPr>
    </w:p>
    <w:p>
      <w:pPr>
        <w:pStyle w:val="3"/>
        <w:rPr>
          <w:rFonts w:ascii="Times New Roman" w:hAnsi="Times New Roman"/>
          <w:color w:val="auto"/>
          <w:highlight w:val="none"/>
        </w:rPr>
      </w:pPr>
      <w:bookmarkStart w:id="13" w:name="_Toc150595430"/>
      <w:bookmarkStart w:id="14" w:name="_Toc137565650"/>
      <w:r>
        <w:rPr>
          <w:rFonts w:hint="eastAsia" w:ascii="Times New Roman" w:hAnsi="Times New Roman"/>
          <w:color w:val="auto"/>
          <w:highlight w:val="none"/>
        </w:rPr>
        <w:t>第三节  发展机遇与问题</w:t>
      </w:r>
      <w:bookmarkEnd w:id="13"/>
      <w:bookmarkEnd w:id="14"/>
    </w:p>
    <w:p>
      <w:pPr>
        <w:pStyle w:val="4"/>
        <w:ind w:firstLine="643"/>
        <w:rPr>
          <w:color w:val="auto"/>
          <w:highlight w:val="none"/>
        </w:rPr>
      </w:pPr>
      <w:r>
        <w:rPr>
          <w:rFonts w:hint="eastAsia"/>
          <w:color w:val="auto"/>
          <w:highlight w:val="none"/>
        </w:rPr>
        <w:t>一、发展机遇</w:t>
      </w:r>
    </w:p>
    <w:p>
      <w:pPr>
        <w:ind w:firstLine="643"/>
        <w:outlineLvl w:val="3"/>
        <w:rPr>
          <w:b/>
          <w:bCs/>
          <w:color w:val="auto"/>
          <w:highlight w:val="none"/>
        </w:rPr>
      </w:pPr>
      <w:r>
        <w:rPr>
          <w:rFonts w:hint="eastAsia"/>
          <w:b/>
          <w:bCs/>
          <w:color w:val="auto"/>
          <w:highlight w:val="none"/>
        </w:rPr>
        <w:t>（一）广阔的发展空间</w:t>
      </w:r>
    </w:p>
    <w:p>
      <w:pPr>
        <w:ind w:firstLine="640"/>
        <w:rPr>
          <w:color w:val="auto"/>
          <w:highlight w:val="none"/>
        </w:rPr>
      </w:pPr>
      <w:r>
        <w:rPr>
          <w:rFonts w:hint="eastAsia"/>
          <w:color w:val="auto"/>
          <w:highlight w:val="none"/>
        </w:rPr>
        <w:t>随着“一带一路”倡议实施，《区域全面经济伙伴关系协定（RCEP）》正式签署，中国（广西）自由贸易试验区、西部陆海新通道、粤港澳大湾区等战略深入实施，为广西农业产业发展提供了更广阔的发展空间，为柳南区的特色产业发展提供了更大的上升空间。同时，柳州市正在建设现代制造城、打造万亿工业强市，柳南区处于建设“柳州门户、西部强区”的关键期，发展空间广阔。</w:t>
      </w:r>
    </w:p>
    <w:p>
      <w:pPr>
        <w:ind w:firstLine="643"/>
        <w:outlineLvl w:val="3"/>
        <w:rPr>
          <w:b/>
          <w:bCs/>
          <w:color w:val="auto"/>
          <w:highlight w:val="none"/>
        </w:rPr>
      </w:pPr>
      <w:r>
        <w:rPr>
          <w:rFonts w:hint="eastAsia"/>
          <w:b/>
          <w:bCs/>
          <w:color w:val="auto"/>
          <w:highlight w:val="none"/>
        </w:rPr>
        <w:t>（二）乡村振兴深化发展</w:t>
      </w:r>
    </w:p>
    <w:p>
      <w:pPr>
        <w:ind w:firstLine="640"/>
        <w:rPr>
          <w:color w:val="auto"/>
          <w:highlight w:val="none"/>
        </w:rPr>
      </w:pPr>
      <w:r>
        <w:rPr>
          <w:rFonts w:hint="eastAsia"/>
          <w:color w:val="auto"/>
          <w:highlight w:val="none"/>
        </w:rPr>
        <w:t>乡村振兴战略全面实施带来重大发展机遇。党的二十大报告提出全面推进乡村振兴战略，强调必须始终把解决好“三农”问题作为全党工作的重中之重，坚持农业农村优先发展。2021年4月，《中华人民共和国乡村振兴促进法》颁布实施，标志着依法全面推进乡村振兴时代的到来。柳南区将脱贫攻坚与全面推进乡村振兴有机衔接，促进农村产业新发展局面，打造与时俱进、绿色协调发展的农村新产业布局。</w:t>
      </w:r>
    </w:p>
    <w:p>
      <w:pPr>
        <w:ind w:firstLine="643"/>
        <w:outlineLvl w:val="3"/>
        <w:rPr>
          <w:b/>
          <w:bCs/>
          <w:color w:val="auto"/>
          <w:highlight w:val="none"/>
        </w:rPr>
      </w:pPr>
      <w:r>
        <w:rPr>
          <w:rFonts w:hint="eastAsia"/>
          <w:b/>
          <w:bCs/>
          <w:color w:val="auto"/>
          <w:highlight w:val="none"/>
        </w:rPr>
        <w:t>（三）广西大力建设特色产业的发展导向明确</w:t>
      </w:r>
    </w:p>
    <w:p>
      <w:pPr>
        <w:ind w:firstLine="640"/>
        <w:rPr>
          <w:color w:val="auto"/>
          <w:highlight w:val="none"/>
        </w:rPr>
      </w:pPr>
      <w:r>
        <w:rPr>
          <w:rFonts w:hint="eastAsia"/>
          <w:color w:val="auto"/>
          <w:highlight w:val="none"/>
        </w:rPr>
        <w:t>习近平总书记视察广西时充分肯定广西现代特色农业初具规模，要求广西立足林果蔬畜糖等特色资源，打造一批特色农业产业集群；自治区党委、政府提出要推动产业振兴，加快建设现代特色农业强区，打造全国重要农产品保供优供基地；自治区农业农村厅等三部门联合印发《广西壮族自治区农业产业振兴三年行动方案（2021—2023年）》，为推进柳南区特色产业发展提供明确的发展导向和切实的政策支持。</w:t>
      </w:r>
    </w:p>
    <w:p>
      <w:pPr>
        <w:ind w:firstLine="640"/>
        <w:rPr>
          <w:color w:val="auto"/>
          <w:highlight w:val="none"/>
        </w:rPr>
      </w:pPr>
      <w:r>
        <w:rPr>
          <w:rFonts w:hint="eastAsia"/>
          <w:color w:val="auto"/>
          <w:highlight w:val="none"/>
        </w:rPr>
        <w:t>柳南区以满足市场需求为导向，以乡村资源、产业基础、人文历史等优势为依托，因地制宜选择适合本地的乡村产业，加快形成科技创新体集群，提升产业创新能力、打造现代化经济体系，充分发挥现代化农业建设优势，促使社会资源向柳南区农村产业集聚，以市场需求为导向，农村产业为框架，乡村振兴为方向，进一步促进农村产业的蓬勃发展，加快农村产业同乡村振兴融合发展的成果转化。</w:t>
      </w:r>
    </w:p>
    <w:p>
      <w:pPr>
        <w:pStyle w:val="4"/>
        <w:ind w:firstLine="643"/>
        <w:rPr>
          <w:color w:val="auto"/>
          <w:highlight w:val="none"/>
        </w:rPr>
      </w:pPr>
      <w:r>
        <w:rPr>
          <w:rFonts w:hint="eastAsia"/>
          <w:color w:val="auto"/>
          <w:highlight w:val="none"/>
        </w:rPr>
        <w:t>二、存在问题</w:t>
      </w:r>
    </w:p>
    <w:p>
      <w:pPr>
        <w:ind w:firstLine="643"/>
        <w:outlineLvl w:val="3"/>
        <w:rPr>
          <w:b/>
          <w:bCs/>
          <w:color w:val="auto"/>
          <w:highlight w:val="none"/>
        </w:rPr>
      </w:pPr>
      <w:r>
        <w:rPr>
          <w:rFonts w:hint="eastAsia"/>
          <w:b/>
          <w:bCs/>
          <w:color w:val="auto"/>
          <w:highlight w:val="none"/>
        </w:rPr>
        <w:t>（一）特色产业融合发展力度不足</w:t>
      </w:r>
    </w:p>
    <w:p>
      <w:pPr>
        <w:ind w:firstLine="640"/>
        <w:rPr>
          <w:color w:val="auto"/>
          <w:highlight w:val="none"/>
        </w:rPr>
      </w:pPr>
      <w:r>
        <w:rPr>
          <w:rFonts w:hint="eastAsia"/>
          <w:color w:val="auto"/>
          <w:highlight w:val="none"/>
        </w:rPr>
        <w:t>柳南区农业生产产业链有待完善，创新发展水平较低，螺蛳粉原材料产业同家禽产业、桑蚕产业及其他油茶、玉米、生猪、肉牛等特色产业联系性不够，需引进先进种养结合技术，打造生态种养循环产业体系；需加强螺蛳粉原材料产业链枢纽建设，打造柳南区多产业融合共同发展的农业农村现代化发展及特色产业规划布局。</w:t>
      </w:r>
    </w:p>
    <w:p>
      <w:pPr>
        <w:ind w:firstLine="643"/>
        <w:outlineLvl w:val="3"/>
        <w:rPr>
          <w:b/>
          <w:bCs/>
          <w:color w:val="auto"/>
          <w:highlight w:val="none"/>
        </w:rPr>
      </w:pPr>
      <w:r>
        <w:rPr>
          <w:rFonts w:hint="eastAsia"/>
          <w:b/>
          <w:bCs/>
          <w:color w:val="auto"/>
          <w:highlight w:val="none"/>
        </w:rPr>
        <w:t>（二）农产品品牌建设有待提高</w:t>
      </w:r>
    </w:p>
    <w:p>
      <w:pPr>
        <w:ind w:firstLine="640"/>
        <w:rPr>
          <w:color w:val="auto"/>
          <w:highlight w:val="none"/>
        </w:rPr>
      </w:pPr>
      <w:r>
        <w:rPr>
          <w:rFonts w:hint="eastAsia"/>
          <w:color w:val="auto"/>
          <w:highlight w:val="none"/>
        </w:rPr>
        <w:t>柳南区部分产业农产品在发展过程中没有形成品牌效益；农产品品牌增值较低，在一定程度上影响农民发展产业的积极性，应不断提高农产品品牌建设，进一步完善洛满大米、流山大米、实隆鸭、宏华鸡蛋等品牌打造，加快一批螺蛳粉原材料产业、家禽产业、桑蚕产业及油茶、玉米、生猪、肉牛等其他特色产业品牌孵化。</w:t>
      </w:r>
    </w:p>
    <w:p>
      <w:pPr>
        <w:ind w:firstLine="643"/>
        <w:outlineLvl w:val="3"/>
        <w:rPr>
          <w:b/>
          <w:bCs/>
          <w:color w:val="auto"/>
          <w:highlight w:val="none"/>
        </w:rPr>
      </w:pPr>
      <w:r>
        <w:rPr>
          <w:rFonts w:hint="eastAsia"/>
          <w:b/>
          <w:bCs/>
          <w:color w:val="auto"/>
          <w:highlight w:val="none"/>
        </w:rPr>
        <w:t>（三）科技创新能力有待增强</w:t>
      </w:r>
    </w:p>
    <w:p>
      <w:pPr>
        <w:ind w:firstLine="640"/>
        <w:rPr>
          <w:color w:val="auto"/>
          <w:highlight w:val="none"/>
        </w:rPr>
      </w:pPr>
      <w:r>
        <w:rPr>
          <w:rFonts w:hint="eastAsia"/>
          <w:color w:val="auto"/>
          <w:highlight w:val="none"/>
        </w:rPr>
        <w:t>柳南区传统农业产业与高新技术产业发展及产品结构不合理，中低档产品占比大，高技术、高附加值的产品占比少；企业研发水平不足，科技创新投入较少，家禽种业、生态种养发展短板明显；当前柳南区科技中介、企业孵化、成果转化、知识产权和公共技术服务等平台的建设滞后，科技产出水平和科技成果转化水平还不高；产学研合作融合不够紧密，缺少资金支持与投资渠道。</w:t>
      </w:r>
    </w:p>
    <w:p>
      <w:pPr>
        <w:widowControl/>
        <w:spacing w:line="240" w:lineRule="auto"/>
        <w:ind w:firstLine="0" w:firstLineChars="0"/>
        <w:jc w:val="left"/>
        <w:rPr>
          <w:color w:val="auto"/>
          <w:highlight w:val="none"/>
        </w:rPr>
      </w:pPr>
      <w:r>
        <w:rPr>
          <w:color w:val="auto"/>
          <w:highlight w:val="none"/>
        </w:rPr>
        <w:br w:type="page"/>
      </w:r>
    </w:p>
    <w:p>
      <w:pPr>
        <w:ind w:firstLine="640"/>
        <w:rPr>
          <w:color w:val="auto"/>
          <w:highlight w:val="none"/>
        </w:rPr>
      </w:pPr>
    </w:p>
    <w:p>
      <w:pPr>
        <w:pStyle w:val="2"/>
        <w:rPr>
          <w:color w:val="auto"/>
          <w:highlight w:val="none"/>
        </w:rPr>
      </w:pPr>
      <w:bookmarkStart w:id="15" w:name="_Toc150595431"/>
      <w:r>
        <w:rPr>
          <w:rFonts w:hint="eastAsia"/>
          <w:color w:val="auto"/>
          <w:highlight w:val="none"/>
        </w:rPr>
        <w:t>第二章  发展目标与空间布局</w:t>
      </w:r>
      <w:bookmarkEnd w:id="15"/>
    </w:p>
    <w:p>
      <w:pPr>
        <w:ind w:firstLine="640"/>
        <w:rPr>
          <w:color w:val="auto"/>
          <w:highlight w:val="none"/>
        </w:rPr>
      </w:pPr>
    </w:p>
    <w:p>
      <w:pPr>
        <w:pStyle w:val="3"/>
        <w:rPr>
          <w:rFonts w:ascii="Times New Roman" w:hAnsi="Times New Roman"/>
          <w:color w:val="auto"/>
          <w:highlight w:val="none"/>
        </w:rPr>
      </w:pPr>
      <w:bookmarkStart w:id="16" w:name="_Toc150595432"/>
      <w:r>
        <w:rPr>
          <w:rFonts w:hint="eastAsia" w:ascii="Times New Roman" w:hAnsi="Times New Roman"/>
          <w:color w:val="auto"/>
          <w:highlight w:val="none"/>
        </w:rPr>
        <w:t xml:space="preserve">第一节 </w:t>
      </w:r>
      <w:r>
        <w:rPr>
          <w:rFonts w:ascii="Times New Roman" w:hAnsi="Times New Roman"/>
          <w:color w:val="auto"/>
          <w:highlight w:val="none"/>
        </w:rPr>
        <w:t xml:space="preserve"> </w:t>
      </w:r>
      <w:r>
        <w:rPr>
          <w:rFonts w:hint="eastAsia" w:ascii="Times New Roman" w:hAnsi="Times New Roman"/>
          <w:color w:val="auto"/>
          <w:highlight w:val="none"/>
        </w:rPr>
        <w:t>指导思想</w:t>
      </w:r>
    </w:p>
    <w:p>
      <w:pPr>
        <w:ind w:firstLine="640"/>
        <w:rPr>
          <w:color w:val="auto"/>
          <w:highlight w:val="none"/>
        </w:rPr>
      </w:pPr>
      <w:r>
        <w:rPr>
          <w:rFonts w:hint="eastAsia"/>
          <w:color w:val="auto"/>
          <w:highlight w:val="none"/>
        </w:rPr>
        <w:t>以习近平新时代中国特色社会主义思想为指导，全面贯彻党的二十大精神，深入贯彻习近平总书记关于“三农”工作重要论述和对广西工作系列重要指示精神，以及自治区第十二次党代会精神，坚持巩固脱贫攻坚成果全面推动衔接乡村振兴战略的部署，坚持农业农村优先发展，坚持农业现代化与农村现代化一体设计、一体推进，推进产业提质升级，以柳州螺蛳粉全产业原料生产（优质稻、</w:t>
      </w:r>
      <w:bookmarkStart w:id="17" w:name="_Hlk137214727"/>
      <w:r>
        <w:rPr>
          <w:rFonts w:hint="eastAsia"/>
          <w:color w:val="auto"/>
          <w:highlight w:val="none"/>
        </w:rPr>
        <w:t>豆角、竹笋、木耳、辣椒</w:t>
      </w:r>
      <w:bookmarkEnd w:id="17"/>
      <w:r>
        <w:rPr>
          <w:rFonts w:hint="eastAsia"/>
          <w:color w:val="auto"/>
          <w:highlight w:val="none"/>
        </w:rPr>
        <w:t>）、加工、流通销售为主，以家禽（种鸭肉鸭、蛋鸡）、桑蚕产业为辅，以油茶、玉米、生猪、肉牛产业为特色亮点，深化一二三产业融合、城乡融合，深化农业供给侧结构性改革，大力推进科技兴农，促进农业高质高效，推进建设农业强区，开创农业农村现代化新局面，全面推进乡村振兴，加快建设宜居宜业和美乡村。</w:t>
      </w:r>
    </w:p>
    <w:p>
      <w:pPr>
        <w:ind w:firstLine="640"/>
        <w:rPr>
          <w:color w:val="auto"/>
          <w:highlight w:val="none"/>
        </w:rPr>
      </w:pPr>
    </w:p>
    <w:p>
      <w:pPr>
        <w:pStyle w:val="3"/>
        <w:rPr>
          <w:rFonts w:ascii="Times New Roman" w:hAnsi="Times New Roman"/>
          <w:color w:val="auto"/>
          <w:highlight w:val="none"/>
        </w:rPr>
      </w:pPr>
      <w:r>
        <w:rPr>
          <w:rFonts w:hint="eastAsia" w:ascii="Times New Roman" w:hAnsi="Times New Roman"/>
          <w:color w:val="auto"/>
          <w:highlight w:val="none"/>
        </w:rPr>
        <w:t xml:space="preserve">第二节 </w:t>
      </w:r>
      <w:r>
        <w:rPr>
          <w:rFonts w:ascii="Times New Roman" w:hAnsi="Times New Roman"/>
          <w:color w:val="auto"/>
          <w:highlight w:val="none"/>
        </w:rPr>
        <w:t xml:space="preserve"> </w:t>
      </w:r>
      <w:r>
        <w:rPr>
          <w:rFonts w:hint="eastAsia" w:ascii="Times New Roman" w:hAnsi="Times New Roman"/>
          <w:color w:val="auto"/>
          <w:highlight w:val="none"/>
        </w:rPr>
        <w:t>基本原则</w:t>
      </w:r>
    </w:p>
    <w:bookmarkEnd w:id="16"/>
    <w:p>
      <w:pPr>
        <w:ind w:firstLine="643"/>
        <w:rPr>
          <w:color w:val="auto"/>
          <w:highlight w:val="none"/>
        </w:rPr>
      </w:pPr>
      <w:r>
        <w:rPr>
          <w:rFonts w:hint="eastAsia"/>
          <w:b/>
          <w:bCs/>
          <w:color w:val="auto"/>
          <w:highlight w:val="none"/>
        </w:rPr>
        <w:t>——因地制宜、突出特色。</w:t>
      </w:r>
      <w:r>
        <w:rPr>
          <w:rFonts w:hint="eastAsia"/>
          <w:color w:val="auto"/>
          <w:highlight w:val="none"/>
        </w:rPr>
        <w:t>依托种养业、绿水青山、田园风光和乡土文化等，发展优势明显、特色鲜明的乡村产业，更好彰显地域特色、承载乡村价值、体现乡土气息。</w:t>
      </w:r>
    </w:p>
    <w:p>
      <w:pPr>
        <w:ind w:firstLine="643"/>
        <w:rPr>
          <w:color w:val="auto"/>
          <w:spacing w:val="-8"/>
          <w:highlight w:val="none"/>
        </w:rPr>
      </w:pPr>
      <w:r>
        <w:rPr>
          <w:rFonts w:hint="eastAsia"/>
          <w:b/>
          <w:bCs/>
          <w:color w:val="auto"/>
          <w:highlight w:val="none"/>
        </w:rPr>
        <w:t>——市场导向、政府支持。</w:t>
      </w:r>
      <w:r>
        <w:rPr>
          <w:rFonts w:hint="eastAsia"/>
          <w:color w:val="auto"/>
          <w:spacing w:val="-8"/>
          <w:highlight w:val="none"/>
        </w:rPr>
        <w:t>充分发挥市场在资源配置中的决定性作用，激活要素、市场和各类经营主体。更好发挥政府作用，引导</w:t>
      </w:r>
      <w:bookmarkStart w:id="96" w:name="_GoBack"/>
      <w:bookmarkEnd w:id="96"/>
      <w:r>
        <w:rPr>
          <w:rFonts w:hint="eastAsia"/>
          <w:color w:val="auto"/>
          <w:spacing w:val="-8"/>
          <w:highlight w:val="none"/>
        </w:rPr>
        <w:t>形成以农民为主体、企业带动和社会参与相结合的乡村产业发展格局。</w:t>
      </w:r>
    </w:p>
    <w:p>
      <w:pPr>
        <w:ind w:firstLine="643"/>
        <w:rPr>
          <w:color w:val="auto"/>
          <w:highlight w:val="none"/>
        </w:rPr>
      </w:pPr>
      <w:r>
        <w:rPr>
          <w:rFonts w:hint="eastAsia"/>
          <w:b/>
          <w:bCs/>
          <w:color w:val="auto"/>
          <w:highlight w:val="none"/>
        </w:rPr>
        <w:t>——融合发展、联农带农。</w:t>
      </w:r>
      <w:r>
        <w:rPr>
          <w:rFonts w:hint="eastAsia"/>
          <w:color w:val="auto"/>
          <w:highlight w:val="none"/>
        </w:rPr>
        <w:t>加快全产业链、全价值链建设，健全利益联结机制，促进一二三产业融合，紧密利益联结机制，推广全地域全环节全产业链模式，引导产业集聚发展，把农业产业链的增值收益、就业岗位留给农民。</w:t>
      </w:r>
    </w:p>
    <w:p>
      <w:pPr>
        <w:ind w:firstLine="643"/>
        <w:rPr>
          <w:color w:val="auto"/>
          <w:highlight w:val="none"/>
        </w:rPr>
      </w:pPr>
      <w:r>
        <w:rPr>
          <w:rFonts w:hint="eastAsia"/>
          <w:b/>
          <w:bCs/>
          <w:color w:val="auto"/>
          <w:highlight w:val="none"/>
        </w:rPr>
        <w:t>——绿色引领、创新驱动。</w:t>
      </w:r>
      <w:r>
        <w:rPr>
          <w:rFonts w:hint="eastAsia"/>
          <w:color w:val="auto"/>
          <w:highlight w:val="none"/>
        </w:rPr>
        <w:t>牢固树立和践行绿水青山就是金山银山的理念，严守耕地和生态保护红线，节约资源，保护环境，促进农村生产生活生态协调发展。推动科技、业态和模式创新，提高乡村产业质量效益。</w:t>
      </w:r>
    </w:p>
    <w:p>
      <w:pPr>
        <w:ind w:firstLine="640"/>
        <w:rPr>
          <w:color w:val="auto"/>
          <w:highlight w:val="none"/>
        </w:rPr>
      </w:pPr>
    </w:p>
    <w:p>
      <w:pPr>
        <w:pStyle w:val="3"/>
        <w:rPr>
          <w:rFonts w:ascii="Times New Roman" w:hAnsi="Times New Roman"/>
          <w:color w:val="auto"/>
          <w:highlight w:val="none"/>
        </w:rPr>
      </w:pPr>
      <w:r>
        <w:rPr>
          <w:rFonts w:hint="eastAsia" w:ascii="Times New Roman" w:hAnsi="Times New Roman"/>
          <w:color w:val="auto"/>
          <w:highlight w:val="none"/>
        </w:rPr>
        <w:t xml:space="preserve">第三节 </w:t>
      </w:r>
      <w:r>
        <w:rPr>
          <w:rFonts w:ascii="Times New Roman" w:hAnsi="Times New Roman"/>
          <w:color w:val="auto"/>
          <w:highlight w:val="none"/>
        </w:rPr>
        <w:t xml:space="preserve"> </w:t>
      </w:r>
      <w:r>
        <w:rPr>
          <w:rFonts w:hint="eastAsia" w:ascii="Times New Roman" w:hAnsi="Times New Roman"/>
          <w:color w:val="auto"/>
          <w:highlight w:val="none"/>
        </w:rPr>
        <w:t>发展目标</w:t>
      </w:r>
    </w:p>
    <w:p>
      <w:pPr>
        <w:pStyle w:val="4"/>
        <w:ind w:firstLine="643"/>
        <w:rPr>
          <w:color w:val="auto"/>
          <w:highlight w:val="none"/>
        </w:rPr>
      </w:pPr>
      <w:bookmarkStart w:id="18" w:name="_Toc130038249"/>
      <w:bookmarkStart w:id="19" w:name="_Toc137565654"/>
      <w:r>
        <w:rPr>
          <w:rFonts w:hint="eastAsia"/>
          <w:color w:val="auto"/>
          <w:highlight w:val="none"/>
        </w:rPr>
        <w:t>一、战略定位</w:t>
      </w:r>
    </w:p>
    <w:bookmarkEnd w:id="18"/>
    <w:bookmarkEnd w:id="19"/>
    <w:p>
      <w:pPr>
        <w:ind w:firstLine="640"/>
        <w:rPr>
          <w:color w:val="auto"/>
          <w:highlight w:val="none"/>
        </w:rPr>
      </w:pPr>
      <w:r>
        <w:rPr>
          <w:rFonts w:hint="eastAsia"/>
          <w:color w:val="auto"/>
          <w:highlight w:val="none"/>
        </w:rPr>
        <w:t>以国家现代农业产业园为龙头，以工业理念推动农业发展，紧抓“小米粉成就大产业”发展思路，</w:t>
      </w:r>
      <w:r>
        <w:rPr>
          <w:color w:val="auto"/>
          <w:highlight w:val="none"/>
        </w:rPr>
        <w:t>上游大力发展螺蛳粉原材料特色产业，联动各基地的水稻、</w:t>
      </w:r>
      <w:r>
        <w:rPr>
          <w:rFonts w:hint="eastAsia"/>
          <w:color w:val="auto"/>
          <w:highlight w:val="none"/>
        </w:rPr>
        <w:t>豆角、竹笋、木耳、辣椒</w:t>
      </w:r>
      <w:r>
        <w:rPr>
          <w:color w:val="auto"/>
          <w:highlight w:val="none"/>
        </w:rPr>
        <w:t>和螺蛳养殖等第一产业，下游带动柳州螺蛳粉科技创新和流通加工等第二、第三产业，挖掘螺蛳粉及其相关文化，将工业旅游、文化旅游、美食旅游融合的特色发展道路</w:t>
      </w:r>
      <w:r>
        <w:rPr>
          <w:rFonts w:hint="eastAsia"/>
          <w:color w:val="auto"/>
          <w:highlight w:val="none"/>
        </w:rPr>
        <w:t>；推进家禽健康养殖，完善良种繁育体系，推进产业化经营，强化动物疫病防控和家禽产品安全监管，保障家禽产业又好又快发展，实现优质、高效、生态、安全的现代家禽产业；充分利用桑蚕产业示范园缫丝厂桑蚕加工生产线设备及厂房，进一步延伸桑蚕产业链。以</w:t>
      </w:r>
      <w:bookmarkStart w:id="20" w:name="_Hlk118139968"/>
      <w:r>
        <w:rPr>
          <w:rFonts w:hint="eastAsia"/>
          <w:b/>
          <w:bCs/>
          <w:color w:val="auto"/>
          <w:highlight w:val="none"/>
        </w:rPr>
        <w:t>柳州螺蛳粉原材料高质量生产基地、柳州螺蛳粉产业全产业链示范样板、广西家禽优质种苗选育繁育样板区、精品茧丝绸加工</w:t>
      </w:r>
      <w:bookmarkEnd w:id="20"/>
      <w:r>
        <w:rPr>
          <w:rFonts w:hint="eastAsia"/>
          <w:b/>
          <w:bCs/>
          <w:color w:val="auto"/>
          <w:highlight w:val="none"/>
        </w:rPr>
        <w:t>产业样板等</w:t>
      </w:r>
      <w:r>
        <w:rPr>
          <w:rFonts w:hint="eastAsia"/>
          <w:color w:val="auto"/>
          <w:highlight w:val="none"/>
        </w:rPr>
        <w:t>为发展定位，推进特色产业高质量发展，切实巩固拓展脱贫攻坚成果同乡村振兴有效衔接，加快农业现代化与新型工业化、信息化、城镇化同步发展</w:t>
      </w:r>
      <w:bookmarkStart w:id="21" w:name="_Toc109662073"/>
      <w:bookmarkStart w:id="22" w:name="_Toc130038250"/>
      <w:bookmarkStart w:id="23" w:name="_Toc137565655"/>
      <w:r>
        <w:rPr>
          <w:rFonts w:hint="eastAsia"/>
          <w:color w:val="auto"/>
          <w:highlight w:val="none"/>
        </w:rPr>
        <w:t>。</w:t>
      </w:r>
    </w:p>
    <w:p>
      <w:pPr>
        <w:pStyle w:val="4"/>
        <w:ind w:firstLine="643"/>
        <w:rPr>
          <w:color w:val="auto"/>
          <w:highlight w:val="none"/>
        </w:rPr>
      </w:pPr>
      <w:r>
        <w:rPr>
          <w:rFonts w:hint="eastAsia"/>
          <w:color w:val="auto"/>
          <w:highlight w:val="none"/>
        </w:rPr>
        <w:t>二、发展目标</w:t>
      </w:r>
    </w:p>
    <w:bookmarkEnd w:id="21"/>
    <w:bookmarkEnd w:id="22"/>
    <w:bookmarkEnd w:id="23"/>
    <w:p>
      <w:pPr>
        <w:ind w:firstLine="643"/>
        <w:outlineLvl w:val="3"/>
        <w:rPr>
          <w:b/>
          <w:bCs/>
          <w:color w:val="auto"/>
          <w:highlight w:val="none"/>
        </w:rPr>
      </w:pPr>
      <w:bookmarkStart w:id="24" w:name="_Toc118301132"/>
      <w:bookmarkStart w:id="25" w:name="_Toc130038251"/>
      <w:r>
        <w:rPr>
          <w:rFonts w:hint="eastAsia"/>
          <w:b/>
          <w:bCs/>
          <w:color w:val="auto"/>
          <w:highlight w:val="none"/>
        </w:rPr>
        <w:t>（一）总体目标</w:t>
      </w:r>
    </w:p>
    <w:bookmarkEnd w:id="24"/>
    <w:bookmarkEnd w:id="25"/>
    <w:p>
      <w:pPr>
        <w:ind w:firstLine="640"/>
        <w:rPr>
          <w:color w:val="auto"/>
          <w:highlight w:val="none"/>
        </w:rPr>
      </w:pPr>
      <w:r>
        <w:rPr>
          <w:rFonts w:hint="eastAsia"/>
          <w:color w:val="auto"/>
          <w:highlight w:val="none"/>
        </w:rPr>
        <w:t>到2025年，柳南区基本实现农业农村现代化，乡村产业体系不断完善，农业科技支撑能力显著增强，城乡一体化水平不断提高，建强国家现代农业产业园，全力推动柳州螺蛳粉全产业链高质量发展，成为全国农村一二三产业融合发展先导区，实现脱贫攻坚实现与乡村振兴有效衔接，生态乡村建设呈现新风貌，农村居民生活质量显著提高，坚持推动柳南区乡村全面振兴，实现乡村产业振兴，推动农业全面升级，打造国家乡村振兴产业兴旺示范样板。</w:t>
      </w:r>
    </w:p>
    <w:p>
      <w:pPr>
        <w:ind w:firstLine="643"/>
        <w:outlineLvl w:val="3"/>
        <w:rPr>
          <w:b/>
          <w:bCs/>
          <w:color w:val="auto"/>
          <w:highlight w:val="none"/>
        </w:rPr>
      </w:pPr>
      <w:bookmarkStart w:id="26" w:name="_Toc118301133"/>
      <w:bookmarkStart w:id="27" w:name="_Toc130038252"/>
      <w:r>
        <w:rPr>
          <w:rFonts w:hint="eastAsia"/>
          <w:b/>
          <w:bCs/>
          <w:color w:val="auto"/>
          <w:highlight w:val="none"/>
        </w:rPr>
        <w:t>（二）具体目标</w:t>
      </w:r>
      <w:bookmarkEnd w:id="26"/>
      <w:bookmarkEnd w:id="27"/>
    </w:p>
    <w:p>
      <w:pPr>
        <w:ind w:firstLine="643"/>
        <w:rPr>
          <w:color w:val="auto"/>
          <w:highlight w:val="none"/>
        </w:rPr>
      </w:pPr>
      <w:r>
        <w:rPr>
          <w:b/>
          <w:color w:val="auto"/>
          <w:szCs w:val="32"/>
          <w:highlight w:val="none"/>
        </w:rPr>
        <w:t>——</w:t>
      </w:r>
      <w:r>
        <w:rPr>
          <w:rFonts w:hint="eastAsia"/>
          <w:b/>
          <w:color w:val="auto"/>
          <w:szCs w:val="32"/>
          <w:highlight w:val="none"/>
        </w:rPr>
        <w:t>产业发展实现新突破。</w:t>
      </w:r>
      <w:r>
        <w:rPr>
          <w:rFonts w:hint="eastAsia"/>
          <w:color w:val="auto"/>
          <w:highlight w:val="none"/>
        </w:rPr>
        <w:t>立足柳南区特色农业资源和产业发展基础，全力保障粮食和重要农产品供给，以农民增收为主要目标任务，重点发展螺蛳粉原材料生产和初加工、家禽产业、桑蚕产业。</w:t>
      </w:r>
      <w:r>
        <w:rPr>
          <w:color w:val="auto"/>
          <w:kern w:val="0"/>
          <w:szCs w:val="32"/>
          <w:highlight w:val="none"/>
        </w:rPr>
        <w:t>到2025年底</w:t>
      </w:r>
      <w:r>
        <w:rPr>
          <w:rFonts w:hint="eastAsia"/>
          <w:color w:val="auto"/>
          <w:kern w:val="0"/>
          <w:szCs w:val="32"/>
          <w:highlight w:val="none"/>
        </w:rPr>
        <w:t>，在确保完成水稻种植面积和产量任务的基础上，实现米粉专用稻米试点推广，自给供应螺蛳粉加工厂；</w:t>
      </w:r>
      <w:r>
        <w:rPr>
          <w:rFonts w:hint="eastAsia"/>
          <w:color w:val="auto"/>
          <w:highlight w:val="none"/>
        </w:rPr>
        <w:t>力争笋用竹种植面积突破5万亩，竹笋年产量达10万吨；到2025年，螺蛳粉原材料生产加工产值达到60亿元；着力打造肉鸭全产业链，建成华南鸭产业标杆；提升蛋鸡质量，创建供港供圳基地；推进桑蚕产业高质量发展，创建自治区现代农业示范区；打造千亩高标准优质茶油产业示范基地。</w:t>
      </w:r>
    </w:p>
    <w:p>
      <w:pPr>
        <w:ind w:firstLine="643"/>
        <w:rPr>
          <w:color w:val="auto"/>
          <w:szCs w:val="32"/>
          <w:highlight w:val="none"/>
        </w:rPr>
      </w:pPr>
      <w:r>
        <w:rPr>
          <w:rFonts w:hint="eastAsia"/>
          <w:b/>
          <w:color w:val="auto"/>
          <w:szCs w:val="32"/>
          <w:highlight w:val="none"/>
        </w:rPr>
        <w:t>——农业园区集聚发展。</w:t>
      </w:r>
      <w:r>
        <w:rPr>
          <w:rFonts w:hint="eastAsia"/>
          <w:color w:val="auto"/>
          <w:szCs w:val="32"/>
          <w:highlight w:val="none"/>
        </w:rPr>
        <w:t>重点围绕柳州螺蛳粉原材料产业、畜禽产业、桑蚕产业、油茶产业，挖掘潜能，提档升级。建成4个市级现代特色农业示范区，4个自治区级现代特色农业示范区</w:t>
      </w:r>
      <w:r>
        <w:rPr>
          <w:rFonts w:hint="eastAsia"/>
          <w:color w:val="auto"/>
          <w:highlight w:val="none"/>
        </w:rPr>
        <w:t>，升级1个自治区现代特色农业示范区</w:t>
      </w:r>
      <w:r>
        <w:rPr>
          <w:rFonts w:hint="eastAsia"/>
          <w:color w:val="auto"/>
          <w:szCs w:val="32"/>
          <w:highlight w:val="none"/>
        </w:rPr>
        <w:t>。</w:t>
      </w:r>
    </w:p>
    <w:p>
      <w:pPr>
        <w:ind w:firstLine="643"/>
        <w:rPr>
          <w:color w:val="auto"/>
          <w:kern w:val="0"/>
          <w:szCs w:val="32"/>
          <w:highlight w:val="none"/>
        </w:rPr>
      </w:pPr>
      <w:r>
        <w:rPr>
          <w:b/>
          <w:color w:val="auto"/>
          <w:szCs w:val="32"/>
          <w:highlight w:val="none"/>
        </w:rPr>
        <w:t>——</w:t>
      </w:r>
      <w:r>
        <w:rPr>
          <w:rFonts w:hint="eastAsia"/>
          <w:b/>
          <w:color w:val="auto"/>
          <w:szCs w:val="32"/>
          <w:highlight w:val="none"/>
        </w:rPr>
        <w:t>农业经济实力明显增强。</w:t>
      </w:r>
      <w:r>
        <w:rPr>
          <w:rFonts w:hint="eastAsia"/>
          <w:color w:val="auto"/>
          <w:kern w:val="0"/>
          <w:szCs w:val="32"/>
          <w:highlight w:val="none"/>
        </w:rPr>
        <w:t>柳南区</w:t>
      </w:r>
      <w:r>
        <w:rPr>
          <w:color w:val="auto"/>
          <w:kern w:val="0"/>
          <w:szCs w:val="32"/>
          <w:highlight w:val="none"/>
        </w:rPr>
        <w:t>农业经济发展加快，特色产业深度拓展，农产品加工业持续壮大，一二三产业融合发展明显提升，农业经济实力明显增强。到2025年末，特色优势农产品稳定发展，农产品加工业与农业总产值比达到2.8:1</w:t>
      </w:r>
      <w:r>
        <w:rPr>
          <w:rFonts w:hint="eastAsia"/>
          <w:color w:val="auto"/>
          <w:kern w:val="0"/>
          <w:szCs w:val="32"/>
          <w:highlight w:val="none"/>
        </w:rPr>
        <w:t>。</w:t>
      </w:r>
      <w:r>
        <w:rPr>
          <w:color w:val="auto"/>
          <w:kern w:val="0"/>
          <w:szCs w:val="32"/>
          <w:highlight w:val="none"/>
        </w:rPr>
        <w:t>到2025年，加强招商引资，通过建链、补链、延链、强链，引进、培育规模以上</w:t>
      </w:r>
      <w:r>
        <w:rPr>
          <w:rFonts w:hint="eastAsia"/>
          <w:color w:val="auto"/>
          <w:kern w:val="0"/>
          <w:szCs w:val="32"/>
          <w:highlight w:val="none"/>
        </w:rPr>
        <w:t>特色产业</w:t>
      </w:r>
      <w:r>
        <w:rPr>
          <w:color w:val="auto"/>
          <w:kern w:val="0"/>
          <w:szCs w:val="32"/>
          <w:highlight w:val="none"/>
        </w:rPr>
        <w:t>（含延伸加工）生产企业</w:t>
      </w:r>
      <w:r>
        <w:rPr>
          <w:rFonts w:hint="eastAsia"/>
          <w:color w:val="auto"/>
          <w:kern w:val="0"/>
          <w:szCs w:val="32"/>
          <w:highlight w:val="none"/>
        </w:rPr>
        <w:t>新增</w:t>
      </w:r>
      <w:r>
        <w:rPr>
          <w:color w:val="auto"/>
          <w:kern w:val="0"/>
          <w:szCs w:val="32"/>
          <w:highlight w:val="none"/>
        </w:rPr>
        <w:t>5家</w:t>
      </w:r>
      <w:r>
        <w:rPr>
          <w:rFonts w:hint="eastAsia"/>
          <w:color w:val="auto"/>
          <w:kern w:val="0"/>
          <w:szCs w:val="32"/>
          <w:highlight w:val="none"/>
        </w:rPr>
        <w:t>；</w:t>
      </w:r>
      <w:r>
        <w:rPr>
          <w:color w:val="auto"/>
          <w:kern w:val="0"/>
          <w:szCs w:val="32"/>
          <w:highlight w:val="none"/>
        </w:rPr>
        <w:t>培育市级以上龙头企业达到</w:t>
      </w:r>
      <w:r>
        <w:rPr>
          <w:rFonts w:hint="eastAsia"/>
          <w:color w:val="auto"/>
          <w:kern w:val="0"/>
          <w:szCs w:val="32"/>
          <w:highlight w:val="none"/>
        </w:rPr>
        <w:t>20</w:t>
      </w:r>
      <w:r>
        <w:rPr>
          <w:color w:val="auto"/>
          <w:kern w:val="0"/>
          <w:szCs w:val="32"/>
          <w:highlight w:val="none"/>
        </w:rPr>
        <w:t>家、农民专业合作社达到300家、家庭农场达到200个，小农户与现代农业发展实现有效衔接。</w:t>
      </w:r>
    </w:p>
    <w:p>
      <w:pPr>
        <w:ind w:firstLine="643"/>
        <w:rPr>
          <w:color w:val="auto"/>
          <w:szCs w:val="32"/>
          <w:highlight w:val="none"/>
        </w:rPr>
      </w:pPr>
      <w:r>
        <w:rPr>
          <w:b/>
          <w:color w:val="auto"/>
          <w:szCs w:val="32"/>
          <w:highlight w:val="none"/>
        </w:rPr>
        <w:t>——</w:t>
      </w:r>
      <w:r>
        <w:rPr>
          <w:rFonts w:hint="eastAsia"/>
          <w:b/>
          <w:color w:val="auto"/>
          <w:szCs w:val="32"/>
          <w:highlight w:val="none"/>
        </w:rPr>
        <w:t>设施农业进一步发展壮大。</w:t>
      </w:r>
      <w:r>
        <w:rPr>
          <w:color w:val="auto"/>
          <w:szCs w:val="32"/>
          <w:highlight w:val="none"/>
        </w:rPr>
        <w:t>设施农业规模进一步扩大，设施设备更加先进，产品质量更加优良，产业效益明显增加。到2025年，设施生产蚕茧产量达</w:t>
      </w:r>
      <w:r>
        <w:rPr>
          <w:rFonts w:hint="eastAsia"/>
          <w:color w:val="auto"/>
          <w:szCs w:val="32"/>
          <w:highlight w:val="none"/>
        </w:rPr>
        <w:t>5</w:t>
      </w:r>
      <w:r>
        <w:rPr>
          <w:color w:val="auto"/>
          <w:szCs w:val="32"/>
          <w:highlight w:val="none"/>
        </w:rPr>
        <w:t>000吨，产值达到</w:t>
      </w:r>
      <w:r>
        <w:rPr>
          <w:rFonts w:hint="eastAsia"/>
          <w:color w:val="auto"/>
          <w:szCs w:val="32"/>
          <w:highlight w:val="none"/>
        </w:rPr>
        <w:t>2.5</w:t>
      </w:r>
      <w:r>
        <w:rPr>
          <w:color w:val="auto"/>
          <w:szCs w:val="32"/>
          <w:highlight w:val="none"/>
        </w:rPr>
        <w:t>亿元；</w:t>
      </w:r>
      <w:r>
        <w:rPr>
          <w:rFonts w:hint="eastAsia"/>
          <w:color w:val="auto"/>
          <w:spacing w:val="-4"/>
          <w:szCs w:val="32"/>
          <w:highlight w:val="none"/>
        </w:rPr>
        <w:t>设施生产食用菌产量达4000吨以上，产值达</w:t>
      </w:r>
      <w:r>
        <w:rPr>
          <w:color w:val="auto"/>
          <w:spacing w:val="-4"/>
          <w:szCs w:val="32"/>
          <w:highlight w:val="none"/>
        </w:rPr>
        <w:t>0.</w:t>
      </w:r>
      <w:r>
        <w:rPr>
          <w:rFonts w:hint="eastAsia"/>
          <w:color w:val="auto"/>
          <w:spacing w:val="-4"/>
          <w:szCs w:val="32"/>
          <w:highlight w:val="none"/>
        </w:rPr>
        <w:t>2亿元</w:t>
      </w:r>
      <w:r>
        <w:rPr>
          <w:color w:val="auto"/>
          <w:spacing w:val="-4"/>
          <w:szCs w:val="32"/>
          <w:highlight w:val="none"/>
        </w:rPr>
        <w:t>；</w:t>
      </w:r>
      <w:r>
        <w:rPr>
          <w:color w:val="auto"/>
          <w:szCs w:val="32"/>
          <w:highlight w:val="none"/>
        </w:rPr>
        <w:t>畜禽养殖规模化率提高到80%；畜牧业养殖设施化水平进一步提升，</w:t>
      </w:r>
      <w:r>
        <w:rPr>
          <w:rFonts w:hint="eastAsia"/>
          <w:color w:val="auto"/>
          <w:szCs w:val="32"/>
          <w:highlight w:val="none"/>
        </w:rPr>
        <w:t>家禽</w:t>
      </w:r>
      <w:r>
        <w:rPr>
          <w:color w:val="auto"/>
          <w:szCs w:val="32"/>
          <w:highlight w:val="none"/>
        </w:rPr>
        <w:t>规模养殖场粪</w:t>
      </w:r>
      <w:r>
        <w:rPr>
          <w:color w:val="auto"/>
          <w:spacing w:val="-6"/>
          <w:szCs w:val="32"/>
          <w:highlight w:val="none"/>
        </w:rPr>
        <w:t>污</w:t>
      </w:r>
      <w:r>
        <w:rPr>
          <w:rFonts w:hint="eastAsia"/>
          <w:color w:val="auto"/>
          <w:spacing w:val="-6"/>
          <w:szCs w:val="32"/>
          <w:highlight w:val="none"/>
        </w:rPr>
        <w:t>处理</w:t>
      </w:r>
      <w:r>
        <w:rPr>
          <w:color w:val="auto"/>
          <w:spacing w:val="-6"/>
          <w:szCs w:val="32"/>
          <w:highlight w:val="none"/>
        </w:rPr>
        <w:t>利用设施配套率达98%以上，</w:t>
      </w:r>
      <w:r>
        <w:rPr>
          <w:rFonts w:hint="eastAsia"/>
          <w:color w:val="auto"/>
          <w:spacing w:val="-6"/>
          <w:szCs w:val="32"/>
          <w:highlight w:val="none"/>
        </w:rPr>
        <w:t>家禽</w:t>
      </w:r>
      <w:r>
        <w:rPr>
          <w:color w:val="auto"/>
          <w:spacing w:val="-6"/>
          <w:szCs w:val="32"/>
          <w:highlight w:val="none"/>
        </w:rPr>
        <w:t>全产业链产值</w:t>
      </w:r>
      <w:r>
        <w:rPr>
          <w:rFonts w:hint="eastAsia"/>
          <w:color w:val="auto"/>
          <w:spacing w:val="-6"/>
          <w:szCs w:val="32"/>
          <w:highlight w:val="none"/>
        </w:rPr>
        <w:t>过3</w:t>
      </w:r>
      <w:r>
        <w:rPr>
          <w:color w:val="auto"/>
          <w:spacing w:val="-6"/>
          <w:szCs w:val="32"/>
          <w:highlight w:val="none"/>
        </w:rPr>
        <w:t>0亿元。</w:t>
      </w:r>
    </w:p>
    <w:p>
      <w:pPr>
        <w:widowControl/>
        <w:spacing w:line="540" w:lineRule="exact"/>
        <w:ind w:firstLine="643"/>
        <w:rPr>
          <w:color w:val="auto"/>
          <w:kern w:val="0"/>
          <w:szCs w:val="32"/>
          <w:highlight w:val="none"/>
        </w:rPr>
      </w:pPr>
      <w:r>
        <w:rPr>
          <w:b/>
          <w:color w:val="auto"/>
          <w:szCs w:val="32"/>
          <w:highlight w:val="none"/>
        </w:rPr>
        <w:t>——</w:t>
      </w:r>
      <w:r>
        <w:rPr>
          <w:rFonts w:hint="eastAsia"/>
          <w:b/>
          <w:color w:val="auto"/>
          <w:szCs w:val="32"/>
          <w:highlight w:val="none"/>
        </w:rPr>
        <w:t>农业科技水平显著提升。</w:t>
      </w:r>
      <w:r>
        <w:rPr>
          <w:color w:val="auto"/>
          <w:kern w:val="0"/>
          <w:szCs w:val="32"/>
          <w:highlight w:val="none"/>
        </w:rPr>
        <w:t>现代农业科技平台建设加快，机械化作业、农业数字化程度明显提高，农作物秸秆综合利用、畜禽水产清洁养殖技术广泛推行，</w:t>
      </w:r>
      <w:r>
        <w:rPr>
          <w:rFonts w:hint="eastAsia"/>
          <w:color w:val="auto"/>
          <w:kern w:val="0"/>
          <w:szCs w:val="32"/>
          <w:highlight w:val="none"/>
        </w:rPr>
        <w:t>持续推进麻鸭配套系新品种研发和繁育，优化提高虾青素、DHA、玉米核黄素品质鸡蛋的养殖技术</w:t>
      </w:r>
      <w:r>
        <w:rPr>
          <w:color w:val="auto"/>
          <w:kern w:val="0"/>
          <w:szCs w:val="32"/>
          <w:highlight w:val="none"/>
        </w:rPr>
        <w:t>。</w:t>
      </w:r>
      <w:r>
        <w:rPr>
          <w:color w:val="auto"/>
          <w:highlight w:val="none"/>
        </w:rPr>
        <w:t>到2025年末，</w:t>
      </w:r>
      <w:r>
        <w:rPr>
          <w:rFonts w:hint="eastAsia"/>
          <w:color w:val="auto"/>
          <w:highlight w:val="none"/>
        </w:rPr>
        <w:t>农业科技进步贡献率明显提升，智慧农业覆盖率达到</w:t>
      </w:r>
      <w:r>
        <w:rPr>
          <w:color w:val="auto"/>
          <w:highlight w:val="none"/>
        </w:rPr>
        <w:t>60%</w:t>
      </w:r>
      <w:r>
        <w:rPr>
          <w:rFonts w:hint="eastAsia"/>
          <w:color w:val="auto"/>
          <w:highlight w:val="none"/>
        </w:rPr>
        <w:t>以上，良种覆盖率达到</w:t>
      </w:r>
      <w:r>
        <w:rPr>
          <w:color w:val="auto"/>
          <w:highlight w:val="none"/>
        </w:rPr>
        <w:t>98%</w:t>
      </w:r>
      <w:r>
        <w:rPr>
          <w:rFonts w:hint="eastAsia"/>
          <w:color w:val="auto"/>
          <w:highlight w:val="none"/>
        </w:rPr>
        <w:t>，</w:t>
      </w:r>
      <w:r>
        <w:rPr>
          <w:color w:val="auto"/>
          <w:highlight w:val="none"/>
        </w:rPr>
        <w:t>水稻耕种收综合机械化水平达</w:t>
      </w:r>
      <w:r>
        <w:rPr>
          <w:rFonts w:hint="eastAsia"/>
          <w:color w:val="auto"/>
          <w:highlight w:val="none"/>
        </w:rPr>
        <w:t>80</w:t>
      </w:r>
      <w:r>
        <w:rPr>
          <w:color w:val="auto"/>
          <w:highlight w:val="none"/>
        </w:rPr>
        <w:t>%以上。</w:t>
      </w:r>
    </w:p>
    <w:p>
      <w:pPr>
        <w:widowControl/>
        <w:spacing w:line="540" w:lineRule="exact"/>
        <w:ind w:firstLine="643"/>
        <w:rPr>
          <w:color w:val="auto"/>
          <w:kern w:val="0"/>
          <w:szCs w:val="32"/>
          <w:highlight w:val="none"/>
        </w:rPr>
      </w:pPr>
      <w:r>
        <w:rPr>
          <w:rFonts w:hint="eastAsia"/>
          <w:b/>
          <w:color w:val="auto"/>
          <w:szCs w:val="32"/>
          <w:highlight w:val="none"/>
        </w:rPr>
        <w:t>——农产品质量安全保障有力。</w:t>
      </w:r>
      <w:r>
        <w:rPr>
          <w:color w:val="auto"/>
          <w:kern w:val="0"/>
          <w:szCs w:val="32"/>
          <w:highlight w:val="none"/>
        </w:rPr>
        <w:t>农产品质量安全监管体系进一步完善，全面推行食用农产品合格证制度，安全特色农产品供给能力明显提升，品牌农产品、绿色食品、有机食品和地理标志农产品等优质农产品明显增加，</w:t>
      </w:r>
      <w:r>
        <w:rPr>
          <w:rFonts w:hint="eastAsia"/>
          <w:color w:val="auto"/>
          <w:kern w:val="0"/>
          <w:szCs w:val="32"/>
          <w:highlight w:val="none"/>
        </w:rPr>
        <w:t>特色农产品追溯率达到</w:t>
      </w:r>
      <w:r>
        <w:rPr>
          <w:color w:val="auto"/>
          <w:kern w:val="0"/>
          <w:szCs w:val="32"/>
          <w:highlight w:val="none"/>
        </w:rPr>
        <w:t>80%</w:t>
      </w:r>
      <w:r>
        <w:rPr>
          <w:rFonts w:hint="eastAsia"/>
          <w:color w:val="auto"/>
          <w:kern w:val="0"/>
          <w:szCs w:val="32"/>
          <w:highlight w:val="none"/>
        </w:rPr>
        <w:t>以上。</w:t>
      </w:r>
    </w:p>
    <w:p>
      <w:pPr>
        <w:spacing w:line="540" w:lineRule="exact"/>
        <w:ind w:firstLine="643"/>
        <w:rPr>
          <w:color w:val="auto"/>
          <w:highlight w:val="none"/>
        </w:rPr>
      </w:pPr>
      <w:r>
        <w:rPr>
          <w:rFonts w:hint="eastAsia"/>
          <w:b/>
          <w:color w:val="auto"/>
          <w:szCs w:val="32"/>
          <w:highlight w:val="none"/>
        </w:rPr>
        <w:t>——农民生活更加富裕。</w:t>
      </w:r>
      <w:r>
        <w:rPr>
          <w:color w:val="auto"/>
          <w:highlight w:val="none"/>
        </w:rPr>
        <w:t>城乡发展差距和居民生活水平差距显著缩小，</w:t>
      </w:r>
      <w:r>
        <w:rPr>
          <w:rFonts w:hint="eastAsia"/>
          <w:color w:val="auto"/>
          <w:highlight w:val="none"/>
        </w:rPr>
        <w:t>农村居民人均可支配收入年均增长</w:t>
      </w:r>
      <w:r>
        <w:rPr>
          <w:color w:val="auto"/>
          <w:highlight w:val="none"/>
        </w:rPr>
        <w:t>10%</w:t>
      </w:r>
      <w:r>
        <w:rPr>
          <w:rFonts w:hint="eastAsia"/>
          <w:color w:val="auto"/>
          <w:highlight w:val="none"/>
        </w:rPr>
        <w:t>以上。</w:t>
      </w:r>
    </w:p>
    <w:p>
      <w:pPr>
        <w:ind w:firstLine="0" w:firstLineChars="0"/>
        <w:jc w:val="center"/>
        <w:rPr>
          <w:rFonts w:eastAsia="黑体"/>
          <w:color w:val="auto"/>
          <w:sz w:val="30"/>
          <w:szCs w:val="30"/>
          <w:highlight w:val="none"/>
        </w:rPr>
      </w:pPr>
      <w:r>
        <w:rPr>
          <w:rFonts w:hint="eastAsia" w:eastAsia="黑体"/>
          <w:color w:val="auto"/>
          <w:sz w:val="30"/>
          <w:szCs w:val="30"/>
          <w:highlight w:val="none"/>
        </w:rPr>
        <w:t>专栏1：柳南区特色产业发展年度目标任务</w:t>
      </w:r>
    </w:p>
    <w:tbl>
      <w:tblPr>
        <w:tblStyle w:val="23"/>
        <w:tblW w:w="94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089"/>
        <w:gridCol w:w="845"/>
        <w:gridCol w:w="862"/>
        <w:gridCol w:w="724"/>
        <w:gridCol w:w="862"/>
        <w:gridCol w:w="862"/>
        <w:gridCol w:w="793"/>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9" w:type="dxa"/>
            <w:vAlign w:val="center"/>
          </w:tcPr>
          <w:p>
            <w:pPr>
              <w:ind w:firstLine="0" w:firstLineChars="0"/>
              <w:jc w:val="center"/>
              <w:rPr>
                <w:rFonts w:eastAsia="楷体_GB2312"/>
                <w:b/>
                <w:color w:val="auto"/>
                <w:sz w:val="24"/>
                <w:szCs w:val="24"/>
                <w:highlight w:val="none"/>
              </w:rPr>
            </w:pPr>
            <w:r>
              <w:rPr>
                <w:rFonts w:eastAsia="楷体_GB2312"/>
                <w:b/>
                <w:color w:val="auto"/>
                <w:sz w:val="24"/>
                <w:szCs w:val="24"/>
                <w:highlight w:val="none"/>
              </w:rPr>
              <w:t>类别</w:t>
            </w:r>
          </w:p>
        </w:tc>
        <w:tc>
          <w:tcPr>
            <w:tcW w:w="2089" w:type="dxa"/>
            <w:vAlign w:val="center"/>
          </w:tcPr>
          <w:p>
            <w:pPr>
              <w:ind w:firstLine="0" w:firstLineChars="0"/>
              <w:jc w:val="center"/>
              <w:rPr>
                <w:rFonts w:eastAsia="楷体_GB2312"/>
                <w:b/>
                <w:color w:val="auto"/>
                <w:sz w:val="24"/>
                <w:szCs w:val="24"/>
                <w:highlight w:val="none"/>
              </w:rPr>
            </w:pPr>
            <w:r>
              <w:rPr>
                <w:rFonts w:eastAsia="楷体_GB2312"/>
                <w:b/>
                <w:color w:val="auto"/>
                <w:sz w:val="24"/>
                <w:szCs w:val="24"/>
                <w:highlight w:val="none"/>
              </w:rPr>
              <w:t>指标名称</w:t>
            </w:r>
          </w:p>
        </w:tc>
        <w:tc>
          <w:tcPr>
            <w:tcW w:w="845" w:type="dxa"/>
            <w:vAlign w:val="center"/>
          </w:tcPr>
          <w:p>
            <w:pPr>
              <w:ind w:firstLine="0" w:firstLineChars="0"/>
              <w:jc w:val="center"/>
              <w:rPr>
                <w:rFonts w:eastAsia="楷体_GB2312"/>
                <w:b/>
                <w:color w:val="auto"/>
                <w:sz w:val="24"/>
                <w:szCs w:val="24"/>
                <w:highlight w:val="none"/>
              </w:rPr>
            </w:pPr>
            <w:r>
              <w:rPr>
                <w:rFonts w:eastAsia="楷体_GB2312"/>
                <w:b/>
                <w:color w:val="auto"/>
                <w:sz w:val="24"/>
                <w:szCs w:val="24"/>
                <w:highlight w:val="none"/>
              </w:rPr>
              <w:t>单位</w:t>
            </w:r>
          </w:p>
        </w:tc>
        <w:tc>
          <w:tcPr>
            <w:tcW w:w="862" w:type="dxa"/>
            <w:vAlign w:val="center"/>
          </w:tcPr>
          <w:p>
            <w:pPr>
              <w:ind w:firstLine="0" w:firstLineChars="0"/>
              <w:jc w:val="center"/>
              <w:rPr>
                <w:rFonts w:eastAsia="楷体_GB2312"/>
                <w:b/>
                <w:color w:val="auto"/>
                <w:sz w:val="24"/>
                <w:szCs w:val="24"/>
                <w:highlight w:val="none"/>
              </w:rPr>
            </w:pPr>
            <w:r>
              <w:rPr>
                <w:rFonts w:eastAsia="楷体_GB2312"/>
                <w:b/>
                <w:color w:val="auto"/>
                <w:sz w:val="24"/>
                <w:szCs w:val="24"/>
                <w:highlight w:val="none"/>
              </w:rPr>
              <w:t>2021</w:t>
            </w:r>
          </w:p>
        </w:tc>
        <w:tc>
          <w:tcPr>
            <w:tcW w:w="724" w:type="dxa"/>
            <w:vAlign w:val="center"/>
          </w:tcPr>
          <w:p>
            <w:pPr>
              <w:ind w:firstLine="0" w:firstLineChars="0"/>
              <w:jc w:val="center"/>
              <w:rPr>
                <w:rFonts w:eastAsia="楷体_GB2312"/>
                <w:b/>
                <w:color w:val="auto"/>
                <w:sz w:val="24"/>
                <w:szCs w:val="24"/>
                <w:highlight w:val="none"/>
              </w:rPr>
            </w:pPr>
            <w:r>
              <w:rPr>
                <w:rFonts w:eastAsia="楷体_GB2312"/>
                <w:b/>
                <w:color w:val="auto"/>
                <w:sz w:val="24"/>
                <w:szCs w:val="24"/>
                <w:highlight w:val="none"/>
              </w:rPr>
              <w:t>202</w:t>
            </w:r>
            <w:r>
              <w:rPr>
                <w:rFonts w:hint="eastAsia" w:eastAsia="楷体_GB2312"/>
                <w:b/>
                <w:color w:val="auto"/>
                <w:sz w:val="24"/>
                <w:szCs w:val="24"/>
                <w:highlight w:val="none"/>
              </w:rPr>
              <w:t>2</w:t>
            </w:r>
          </w:p>
        </w:tc>
        <w:tc>
          <w:tcPr>
            <w:tcW w:w="862" w:type="dxa"/>
            <w:vAlign w:val="center"/>
          </w:tcPr>
          <w:p>
            <w:pPr>
              <w:ind w:firstLine="0" w:firstLineChars="0"/>
              <w:jc w:val="center"/>
              <w:rPr>
                <w:rFonts w:eastAsia="楷体_GB2312"/>
                <w:b/>
                <w:color w:val="auto"/>
                <w:sz w:val="24"/>
                <w:szCs w:val="24"/>
                <w:highlight w:val="none"/>
              </w:rPr>
            </w:pPr>
            <w:r>
              <w:rPr>
                <w:rFonts w:hint="eastAsia" w:eastAsia="楷体_GB2312"/>
                <w:b/>
                <w:color w:val="auto"/>
                <w:sz w:val="24"/>
                <w:szCs w:val="24"/>
                <w:highlight w:val="none"/>
              </w:rPr>
              <w:t>2023</w:t>
            </w:r>
          </w:p>
        </w:tc>
        <w:tc>
          <w:tcPr>
            <w:tcW w:w="862" w:type="dxa"/>
            <w:vAlign w:val="center"/>
          </w:tcPr>
          <w:p>
            <w:pPr>
              <w:ind w:firstLine="0" w:firstLineChars="0"/>
              <w:jc w:val="center"/>
              <w:rPr>
                <w:rFonts w:eastAsia="楷体_GB2312"/>
                <w:b/>
                <w:color w:val="auto"/>
                <w:sz w:val="24"/>
                <w:szCs w:val="24"/>
                <w:highlight w:val="none"/>
              </w:rPr>
            </w:pPr>
            <w:r>
              <w:rPr>
                <w:rFonts w:hint="eastAsia" w:eastAsia="楷体_GB2312"/>
                <w:b/>
                <w:color w:val="auto"/>
                <w:sz w:val="24"/>
                <w:szCs w:val="24"/>
                <w:highlight w:val="none"/>
              </w:rPr>
              <w:t>2024</w:t>
            </w:r>
          </w:p>
        </w:tc>
        <w:tc>
          <w:tcPr>
            <w:tcW w:w="793" w:type="dxa"/>
            <w:vAlign w:val="center"/>
          </w:tcPr>
          <w:p>
            <w:pPr>
              <w:ind w:firstLine="0" w:firstLineChars="0"/>
              <w:jc w:val="center"/>
              <w:rPr>
                <w:rFonts w:eastAsia="楷体_GB2312"/>
                <w:b/>
                <w:color w:val="auto"/>
                <w:sz w:val="24"/>
                <w:szCs w:val="24"/>
                <w:highlight w:val="none"/>
              </w:rPr>
            </w:pPr>
            <w:r>
              <w:rPr>
                <w:rFonts w:hint="eastAsia" w:eastAsia="楷体_GB2312"/>
                <w:b/>
                <w:color w:val="auto"/>
                <w:sz w:val="24"/>
                <w:szCs w:val="24"/>
                <w:highlight w:val="none"/>
              </w:rPr>
              <w:t>2025</w:t>
            </w:r>
          </w:p>
        </w:tc>
        <w:tc>
          <w:tcPr>
            <w:tcW w:w="1741" w:type="dxa"/>
            <w:vAlign w:val="center"/>
          </w:tcPr>
          <w:p>
            <w:pPr>
              <w:ind w:firstLine="0" w:firstLineChars="0"/>
              <w:jc w:val="center"/>
              <w:rPr>
                <w:rFonts w:eastAsia="楷体_GB2312"/>
                <w:b/>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vAlign w:val="center"/>
          </w:tcPr>
          <w:p>
            <w:pPr>
              <w:adjustRightInd w:val="0"/>
              <w:snapToGrid w:val="0"/>
              <w:spacing w:line="400" w:lineRule="exact"/>
              <w:ind w:firstLine="0" w:firstLineChars="0"/>
              <w:jc w:val="center"/>
              <w:rPr>
                <w:b/>
                <w:color w:val="auto"/>
                <w:sz w:val="24"/>
                <w:szCs w:val="24"/>
                <w:highlight w:val="none"/>
              </w:rPr>
            </w:pPr>
            <w:r>
              <w:rPr>
                <w:rFonts w:hint="eastAsia" w:eastAsia="仿宋_GB2312"/>
                <w:snapToGrid w:val="0"/>
                <w:color w:val="auto"/>
                <w:sz w:val="24"/>
                <w:szCs w:val="24"/>
                <w:highlight w:val="none"/>
              </w:rPr>
              <w:t>螺蛳粉原材料产业</w:t>
            </w: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建成市政府认定的“柳州螺蛳粉”原材料基地</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eastAsia="仿宋_GB2312"/>
                <w:color w:val="auto"/>
                <w:kern w:val="0"/>
                <w:sz w:val="24"/>
                <w:szCs w:val="24"/>
                <w:highlight w:val="none"/>
              </w:rPr>
              <w:t>5</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7</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7</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8</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8</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建成</w:t>
            </w:r>
            <w:r>
              <w:rPr>
                <w:rFonts w:eastAsia="仿宋_GB2312"/>
                <w:snapToGrid w:val="0"/>
                <w:color w:val="auto"/>
                <w:sz w:val="24"/>
                <w:szCs w:val="24"/>
                <w:highlight w:val="none"/>
              </w:rPr>
              <w:t>标准化优质稻生产基地</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eastAsia="仿宋_GB2312"/>
                <w:color w:val="auto"/>
                <w:kern w:val="0"/>
                <w:sz w:val="24"/>
                <w:szCs w:val="24"/>
                <w:highlight w:val="none"/>
              </w:rPr>
              <w:t>3</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color w:val="auto"/>
                <w:kern w:val="0"/>
                <w:sz w:val="24"/>
                <w:szCs w:val="24"/>
                <w:highlight w:val="none"/>
              </w:rPr>
              <w:t>4</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5</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6</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6</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粮食</w:t>
            </w:r>
            <w:r>
              <w:rPr>
                <w:rFonts w:eastAsia="仿宋_GB2312"/>
                <w:snapToGrid w:val="0"/>
                <w:color w:val="auto"/>
                <w:sz w:val="24"/>
                <w:szCs w:val="24"/>
                <w:highlight w:val="none"/>
              </w:rPr>
              <w:t>播种面积</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7.9</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7.95</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7.95</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7.95</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7.95</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保持螺蛳养殖面积</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w:t>
            </w:r>
            <w:r>
              <w:rPr>
                <w:rFonts w:eastAsia="仿宋_GB2312"/>
                <w:snapToGrid w:val="0"/>
                <w:color w:val="auto"/>
                <w:sz w:val="24"/>
                <w:szCs w:val="24"/>
                <w:highlight w:val="none"/>
              </w:rPr>
              <w:t>.1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新增笋用竹</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3.6</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0.4</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0.2</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0.3</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0.5</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新增食用菌培育、种植基地</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3</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新增木耳种植数量</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棒</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80</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80</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80</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80</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eastAsia="仿宋_GB2312"/>
                <w:snapToGrid w:val="0"/>
                <w:color w:val="auto"/>
                <w:sz w:val="24"/>
                <w:szCs w:val="24"/>
                <w:highlight w:val="none"/>
              </w:rPr>
              <w:t>豆角种植面积</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0.1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eastAsia="仿宋_GB2312"/>
                <w:snapToGrid w:val="0"/>
                <w:color w:val="auto"/>
                <w:sz w:val="24"/>
                <w:szCs w:val="24"/>
                <w:highlight w:val="none"/>
              </w:rPr>
              <w:t>辣椒种植面积</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0.05</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0.05</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新增其他蔬菜种植面积</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0.1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0.2</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0.2</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0.2</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新增原材料分拣加工基地</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拓展粮油加工功能项目</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完善基地冷链设施项目</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spacing w:line="400" w:lineRule="exact"/>
              <w:ind w:firstLine="0" w:firstLineChars="0"/>
              <w:rPr>
                <w:b/>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完善竹笋基地配套设施项目</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color w:val="auto"/>
                <w:kern w:val="0"/>
                <w:sz w:val="24"/>
                <w:szCs w:val="24"/>
                <w:highlight w:val="none"/>
              </w:rPr>
            </w:pPr>
            <w:r>
              <w:rPr>
                <w:rFonts w:hint="eastAsia" w:eastAsia="仿宋_GB2312"/>
                <w:color w:val="auto"/>
                <w:kern w:val="0"/>
                <w:sz w:val="24"/>
                <w:szCs w:val="24"/>
                <w:highlight w:val="none"/>
              </w:rPr>
              <w:t>3</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3</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restart"/>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家禽产业</w:t>
            </w: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新建蛋鸡标准化养殖基地</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1741"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提升蛋鸡标准化养殖基地</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09" w:type="dxa"/>
            <w:vMerge w:val="continue"/>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新建鸭标准化养殖基地</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862"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2</w:t>
            </w:r>
          </w:p>
        </w:tc>
        <w:tc>
          <w:tcPr>
            <w:tcW w:w="793"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2</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09" w:type="dxa"/>
            <w:vMerge w:val="continue"/>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提升鸭标准化养殖基地</w:t>
            </w:r>
          </w:p>
          <w:p>
            <w:pPr>
              <w:adjustRightInd w:val="0"/>
              <w:snapToGrid w:val="0"/>
              <w:spacing w:line="400" w:lineRule="exact"/>
              <w:ind w:firstLine="0" w:firstLineChars="0"/>
              <w:jc w:val="left"/>
              <w:rPr>
                <w:rFonts w:eastAsia="仿宋_GB2312"/>
                <w:snapToGrid w:val="0"/>
                <w:color w:val="auto"/>
                <w:sz w:val="24"/>
                <w:szCs w:val="24"/>
                <w:highlight w:val="none"/>
              </w:rPr>
            </w:pP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提升林下鸡标准化养殖基地</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93"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709" w:type="dxa"/>
            <w:vMerge w:val="restart"/>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桑蚕产业</w:t>
            </w: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新建标准化桑叶种植示范基地</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提升蚕桑标准化种植技术合作项目</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拓展蚕桑农文旅融合项目</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完善仓储冷链设施项目</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restart"/>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其他特色产业</w:t>
            </w: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玉米新品种推广</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r>
              <w:rPr>
                <w:rFonts w:eastAsia="仿宋_GB2312"/>
                <w:snapToGrid w:val="0"/>
                <w:color w:val="auto"/>
                <w:sz w:val="24"/>
                <w:szCs w:val="24"/>
                <w:highlight w:val="none"/>
              </w:rPr>
              <w:t>.</w:t>
            </w:r>
            <w:r>
              <w:rPr>
                <w:rFonts w:hint="eastAsia" w:eastAsia="仿宋_GB2312"/>
                <w:snapToGrid w:val="0"/>
                <w:color w:val="auto"/>
                <w:sz w:val="24"/>
                <w:szCs w:val="24"/>
                <w:highlight w:val="none"/>
              </w:rPr>
              <w:t>3</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1.5</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1.6</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1.6</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新建玉米高产攻关示范基地</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0.2</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0.2</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新增肉牛养殖示范基地</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提升肉牛养殖示范基地</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新建生猪养殖示范基地</w:t>
            </w:r>
          </w:p>
        </w:tc>
        <w:tc>
          <w:tcPr>
            <w:tcW w:w="845"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个</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2</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2</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2</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trPr>
        <w:tc>
          <w:tcPr>
            <w:tcW w:w="709" w:type="dxa"/>
            <w:vMerge w:val="continue"/>
          </w:tcPr>
          <w:p>
            <w:pPr>
              <w:adjustRightInd w:val="0"/>
              <w:snapToGrid w:val="0"/>
              <w:spacing w:line="400" w:lineRule="exact"/>
              <w:ind w:firstLine="0" w:firstLineChars="0"/>
              <w:jc w:val="center"/>
              <w:rPr>
                <w:rFonts w:eastAsia="仿宋_GB2312"/>
                <w:snapToGrid w:val="0"/>
                <w:color w:val="auto"/>
                <w:sz w:val="24"/>
                <w:szCs w:val="24"/>
                <w:highlight w:val="none"/>
              </w:rPr>
            </w:pPr>
          </w:p>
        </w:tc>
        <w:tc>
          <w:tcPr>
            <w:tcW w:w="2089" w:type="dxa"/>
            <w:vAlign w:val="center"/>
          </w:tcPr>
          <w:p>
            <w:pPr>
              <w:adjustRightInd w:val="0"/>
              <w:snapToGrid w:val="0"/>
              <w:spacing w:line="400" w:lineRule="exact"/>
              <w:ind w:firstLine="0" w:firstLineChars="0"/>
              <w:jc w:val="left"/>
              <w:rPr>
                <w:rFonts w:eastAsia="仿宋_GB2312"/>
                <w:snapToGrid w:val="0"/>
                <w:color w:val="auto"/>
                <w:sz w:val="24"/>
                <w:szCs w:val="24"/>
                <w:highlight w:val="none"/>
              </w:rPr>
            </w:pPr>
            <w:r>
              <w:rPr>
                <w:rFonts w:hint="eastAsia" w:eastAsia="仿宋_GB2312"/>
                <w:snapToGrid w:val="0"/>
                <w:color w:val="auto"/>
                <w:sz w:val="24"/>
                <w:szCs w:val="24"/>
                <w:highlight w:val="none"/>
              </w:rPr>
              <w:t>新增油茶面积</w:t>
            </w:r>
          </w:p>
        </w:tc>
        <w:tc>
          <w:tcPr>
            <w:tcW w:w="845" w:type="dxa"/>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万亩</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w:t>
            </w:r>
          </w:p>
        </w:tc>
        <w:tc>
          <w:tcPr>
            <w:tcW w:w="724"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w:t>
            </w:r>
            <w:r>
              <w:rPr>
                <w:rFonts w:eastAsia="仿宋_GB2312"/>
                <w:snapToGrid w:val="0"/>
                <w:color w:val="auto"/>
                <w:sz w:val="24"/>
                <w:szCs w:val="24"/>
                <w:highlight w:val="none"/>
              </w:rPr>
              <w:t>.2</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862"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793"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hint="eastAsia" w:eastAsia="仿宋_GB2312"/>
                <w:snapToGrid w:val="0"/>
                <w:color w:val="auto"/>
                <w:sz w:val="24"/>
                <w:szCs w:val="24"/>
                <w:highlight w:val="none"/>
              </w:rPr>
              <w:t>0.1</w:t>
            </w:r>
          </w:p>
        </w:tc>
        <w:tc>
          <w:tcPr>
            <w:tcW w:w="1741" w:type="dxa"/>
            <w:vAlign w:val="center"/>
          </w:tcPr>
          <w:p>
            <w:pPr>
              <w:adjustRightInd w:val="0"/>
              <w:snapToGrid w:val="0"/>
              <w:spacing w:line="400" w:lineRule="exact"/>
              <w:ind w:firstLine="0" w:firstLineChars="0"/>
              <w:jc w:val="center"/>
              <w:rPr>
                <w:rFonts w:eastAsia="仿宋_GB2312"/>
                <w:snapToGrid w:val="0"/>
                <w:color w:val="auto"/>
                <w:sz w:val="24"/>
                <w:szCs w:val="24"/>
                <w:highlight w:val="none"/>
              </w:rPr>
            </w:pPr>
            <w:r>
              <w:rPr>
                <w:rFonts w:eastAsia="仿宋_GB2312"/>
                <w:snapToGrid w:val="0"/>
                <w:color w:val="auto"/>
                <w:sz w:val="24"/>
                <w:szCs w:val="24"/>
                <w:highlight w:val="none"/>
              </w:rPr>
              <w:t>预期性</w:t>
            </w:r>
          </w:p>
        </w:tc>
      </w:tr>
    </w:tbl>
    <w:p>
      <w:pPr>
        <w:ind w:firstLine="0" w:firstLineChars="0"/>
        <w:rPr>
          <w:color w:val="auto"/>
          <w:highlight w:val="none"/>
        </w:rPr>
      </w:pPr>
      <w:bookmarkStart w:id="28" w:name="_Toc150595433"/>
    </w:p>
    <w:p>
      <w:pPr>
        <w:pStyle w:val="3"/>
        <w:rPr>
          <w:rFonts w:ascii="Times New Roman" w:hAnsi="Times New Roman"/>
          <w:color w:val="auto"/>
          <w:highlight w:val="none"/>
        </w:rPr>
      </w:pPr>
      <w:r>
        <w:rPr>
          <w:rFonts w:hint="eastAsia" w:ascii="Times New Roman" w:hAnsi="Times New Roman"/>
          <w:color w:val="auto"/>
          <w:highlight w:val="none"/>
        </w:rPr>
        <w:t xml:space="preserve">第二节 </w:t>
      </w:r>
      <w:r>
        <w:rPr>
          <w:rFonts w:ascii="Times New Roman" w:hAnsi="Times New Roman"/>
          <w:color w:val="auto"/>
          <w:highlight w:val="none"/>
        </w:rPr>
        <w:t xml:space="preserve"> </w:t>
      </w:r>
      <w:r>
        <w:rPr>
          <w:rFonts w:hint="eastAsia" w:ascii="Times New Roman" w:hAnsi="Times New Roman"/>
          <w:color w:val="auto"/>
          <w:highlight w:val="none"/>
        </w:rPr>
        <w:t>空间布局</w:t>
      </w:r>
      <w:bookmarkEnd w:id="28"/>
    </w:p>
    <w:p>
      <w:pPr>
        <w:widowControl/>
        <w:spacing w:line="240" w:lineRule="auto"/>
        <w:ind w:firstLine="0" w:firstLineChars="0"/>
        <w:jc w:val="left"/>
        <w:rPr>
          <w:color w:val="auto"/>
          <w:highlight w:val="none"/>
        </w:rPr>
      </w:pPr>
    </w:p>
    <w:p>
      <w:pPr>
        <w:pStyle w:val="4"/>
        <w:ind w:firstLine="643"/>
        <w:rPr>
          <w:color w:val="auto"/>
          <w:highlight w:val="none"/>
        </w:rPr>
      </w:pPr>
      <w:bookmarkStart w:id="29" w:name="_Toc130038254"/>
      <w:bookmarkStart w:id="30" w:name="_Toc137565657"/>
      <w:r>
        <w:rPr>
          <w:rFonts w:hint="eastAsia"/>
          <w:color w:val="auto"/>
          <w:highlight w:val="none"/>
        </w:rPr>
        <w:t>一、柳州螺蛳粉全产业布局</w:t>
      </w:r>
      <w:bookmarkEnd w:id="29"/>
      <w:bookmarkEnd w:id="30"/>
    </w:p>
    <w:p>
      <w:pPr>
        <w:ind w:firstLine="640"/>
        <w:rPr>
          <w:color w:val="auto"/>
          <w:spacing w:val="-2"/>
          <w:highlight w:val="none"/>
        </w:rPr>
      </w:pPr>
      <w:r>
        <w:rPr>
          <w:rFonts w:hint="eastAsia"/>
          <w:color w:val="auto"/>
          <w:highlight w:val="none"/>
        </w:rPr>
        <w:t>围绕优质稻、竹笋、木耳、豆角、螺蛳、辣椒等柳州</w:t>
      </w:r>
      <w:bookmarkStart w:id="31" w:name="_Hlk118132510"/>
      <w:r>
        <w:rPr>
          <w:rFonts w:hint="eastAsia"/>
          <w:color w:val="auto"/>
          <w:highlight w:val="none"/>
        </w:rPr>
        <w:t>螺蛳粉原材料</w:t>
      </w:r>
      <w:bookmarkEnd w:id="31"/>
      <w:r>
        <w:rPr>
          <w:rFonts w:hint="eastAsia"/>
          <w:color w:val="auto"/>
          <w:highlight w:val="none"/>
        </w:rPr>
        <w:t>生产及初加工，坚持产业发展与村庄建设、生态宜居统筹谋划、同步推进产业融合发展，打造</w:t>
      </w:r>
      <w:r>
        <w:rPr>
          <w:rFonts w:hint="eastAsia"/>
          <w:b/>
          <w:bCs/>
          <w:color w:val="auto"/>
          <w:highlight w:val="none"/>
        </w:rPr>
        <w:t>“一区一镇一带多基地”</w:t>
      </w:r>
      <w:r>
        <w:rPr>
          <w:rFonts w:hint="eastAsia"/>
          <w:color w:val="auto"/>
          <w:highlight w:val="none"/>
        </w:rPr>
        <w:t>全产业链融合发展模式，一区是“科技创新与加工流通区”“一镇”为螺蛳粉特色小镇，一带为“柳州螺蛳粉全产业链联动发展带”，“多基地”为螺蛳粉原材料种养基地、螺蛳粉原材料初加工基地、农旅融合发展基地</w:t>
      </w:r>
      <w:r>
        <w:rPr>
          <w:rFonts w:hint="eastAsia"/>
          <w:color w:val="auto"/>
          <w:spacing w:val="-2"/>
          <w:highlight w:val="none"/>
        </w:rPr>
        <w:t>等，推动一二三产融合发展，持续推动柳州螺蛳粉产业高质量发展。</w:t>
      </w:r>
    </w:p>
    <w:p>
      <w:pPr>
        <w:ind w:firstLine="632"/>
        <w:rPr>
          <w:color w:val="auto"/>
          <w:spacing w:val="-2"/>
          <w:highlight w:val="none"/>
        </w:rPr>
      </w:pPr>
    </w:p>
    <w:p>
      <w:pPr>
        <w:ind w:firstLine="632"/>
        <w:rPr>
          <w:color w:val="auto"/>
          <w:spacing w:val="-2"/>
          <w:highlight w:val="none"/>
        </w:rPr>
      </w:pPr>
    </w:p>
    <w:p>
      <w:pPr>
        <w:ind w:firstLine="0" w:firstLineChars="0"/>
        <w:rPr>
          <w:color w:val="auto"/>
          <w:spacing w:val="-2"/>
          <w:highlight w:val="none"/>
        </w:rPr>
      </w:pPr>
    </w:p>
    <w:p>
      <w:pPr>
        <w:ind w:firstLine="632"/>
        <w:rPr>
          <w:color w:val="auto"/>
          <w:spacing w:val="-2"/>
          <w:highlight w:val="none"/>
        </w:rPr>
      </w:pPr>
    </w:p>
    <w:p>
      <w:pPr>
        <w:ind w:firstLine="632"/>
        <w:rPr>
          <w:color w:val="auto"/>
          <w:spacing w:val="-2"/>
          <w:highlight w:val="none"/>
        </w:rPr>
      </w:pPr>
    </w:p>
    <w:p>
      <w:pPr>
        <w:ind w:firstLine="632"/>
        <w:rPr>
          <w:color w:val="auto"/>
          <w:spacing w:val="-2"/>
          <w:highlight w:val="none"/>
        </w:rPr>
      </w:pPr>
    </w:p>
    <w:p>
      <w:pPr>
        <w:ind w:firstLine="632"/>
        <w:rPr>
          <w:color w:val="auto"/>
          <w:spacing w:val="-2"/>
          <w:highlight w:val="none"/>
        </w:rPr>
      </w:pPr>
    </w:p>
    <w:p>
      <w:pPr>
        <w:spacing w:line="240" w:lineRule="auto"/>
        <w:ind w:firstLine="0" w:firstLineChars="0"/>
        <w:jc w:val="center"/>
        <w:rPr>
          <w:color w:val="auto"/>
          <w:highlight w:val="none"/>
        </w:rPr>
      </w:pPr>
      <w:r>
        <w:rPr>
          <w:color w:val="auto"/>
          <w:highlight w:val="none"/>
        </w:rPr>
        <w:drawing>
          <wp:inline distT="0" distB="0" distL="0" distR="0">
            <wp:extent cx="5619115" cy="38823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t="1162" b="1162"/>
                    <a:stretch>
                      <a:fillRect/>
                    </a:stretch>
                  </pic:blipFill>
                  <pic:spPr>
                    <a:xfrm>
                      <a:off x="0" y="0"/>
                      <a:ext cx="5619320" cy="3882824"/>
                    </a:xfrm>
                    <a:prstGeom prst="rect">
                      <a:avLst/>
                    </a:prstGeom>
                    <a:noFill/>
                    <a:ln>
                      <a:noFill/>
                    </a:ln>
                  </pic:spPr>
                </pic:pic>
              </a:graphicData>
            </a:graphic>
          </wp:inline>
        </w:drawing>
      </w:r>
      <w:r>
        <w:rPr>
          <w:rFonts w:hint="eastAsia" w:eastAsia="黑体"/>
          <w:color w:val="auto"/>
          <w:sz w:val="28"/>
          <w:szCs w:val="28"/>
          <w:highlight w:val="none"/>
        </w:rPr>
        <w:t>图</w:t>
      </w:r>
      <w:r>
        <w:rPr>
          <w:rFonts w:eastAsia="黑体"/>
          <w:color w:val="auto"/>
          <w:sz w:val="28"/>
          <w:szCs w:val="28"/>
          <w:highlight w:val="none"/>
        </w:rPr>
        <w:t>3</w:t>
      </w:r>
      <w:r>
        <w:rPr>
          <w:rFonts w:hint="eastAsia" w:eastAsia="黑体"/>
          <w:color w:val="auto"/>
          <w:sz w:val="28"/>
          <w:szCs w:val="28"/>
          <w:highlight w:val="none"/>
        </w:rPr>
        <w:t>—</w:t>
      </w:r>
      <w:r>
        <w:rPr>
          <w:rFonts w:eastAsia="黑体"/>
          <w:color w:val="auto"/>
          <w:sz w:val="28"/>
          <w:szCs w:val="28"/>
          <w:highlight w:val="none"/>
        </w:rPr>
        <w:t xml:space="preserve">1 </w:t>
      </w:r>
      <w:r>
        <w:rPr>
          <w:rFonts w:hint="eastAsia" w:eastAsia="黑体"/>
          <w:color w:val="auto"/>
          <w:sz w:val="28"/>
          <w:szCs w:val="28"/>
          <w:highlight w:val="none"/>
        </w:rPr>
        <w:t>螺蛳粉原材料产业布局图</w:t>
      </w:r>
      <w:r>
        <w:rPr>
          <w:rFonts w:hint="eastAsia"/>
          <w:color w:val="auto"/>
          <w:highlight w:val="none"/>
        </w:rPr>
        <w:t xml:space="preserve">                                                                                                                                                                                                                                                                                                                                                                                                                           </w:t>
      </w:r>
    </w:p>
    <w:p>
      <w:pPr>
        <w:pStyle w:val="4"/>
        <w:ind w:firstLine="643"/>
        <w:rPr>
          <w:color w:val="auto"/>
          <w:highlight w:val="none"/>
        </w:rPr>
      </w:pPr>
      <w:bookmarkStart w:id="32" w:name="_Toc137565658"/>
      <w:r>
        <w:rPr>
          <w:rFonts w:hint="eastAsia"/>
          <w:color w:val="auto"/>
          <w:highlight w:val="none"/>
        </w:rPr>
        <w:t>二、家禽产业布局</w:t>
      </w:r>
      <w:bookmarkEnd w:id="32"/>
    </w:p>
    <w:p>
      <w:pPr>
        <w:ind w:firstLine="640"/>
        <w:rPr>
          <w:color w:val="auto"/>
          <w:highlight w:val="none"/>
        </w:rPr>
      </w:pPr>
      <w:r>
        <w:rPr>
          <w:rFonts w:hint="eastAsia"/>
          <w:color w:val="auto"/>
          <w:highlight w:val="none"/>
        </w:rPr>
        <w:t>家禽产业以种鸭肉鸭及蛋鸡为发展重点，结合产业分布、道路交通、功能定位，将打造</w:t>
      </w:r>
      <w:r>
        <w:rPr>
          <w:rFonts w:hint="eastAsia"/>
          <w:b/>
          <w:bCs/>
          <w:color w:val="auto"/>
          <w:highlight w:val="none"/>
        </w:rPr>
        <w:t>“一带双核两区多基地”</w:t>
      </w:r>
      <w:r>
        <w:rPr>
          <w:rFonts w:hint="eastAsia"/>
          <w:color w:val="auto"/>
          <w:highlight w:val="none"/>
        </w:rPr>
        <w:t>产业发展布局。</w:t>
      </w:r>
    </w:p>
    <w:p>
      <w:pPr>
        <w:spacing w:line="240" w:lineRule="auto"/>
        <w:ind w:firstLine="0" w:firstLineChars="0"/>
        <w:jc w:val="center"/>
        <w:rPr>
          <w:color w:val="auto"/>
          <w:highlight w:val="none"/>
        </w:rPr>
      </w:pPr>
      <w:r>
        <w:rPr>
          <w:color w:val="auto"/>
          <w:highlight w:val="none"/>
        </w:rPr>
        <w:drawing>
          <wp:inline distT="0" distB="0" distL="0" distR="0">
            <wp:extent cx="5264150" cy="3562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t="2119" b="2119"/>
                    <a:stretch>
                      <a:fillRect/>
                    </a:stretch>
                  </pic:blipFill>
                  <pic:spPr>
                    <a:xfrm>
                      <a:off x="0" y="0"/>
                      <a:ext cx="5264150" cy="3562350"/>
                    </a:xfrm>
                    <a:prstGeom prst="rect">
                      <a:avLst/>
                    </a:prstGeom>
                    <a:noFill/>
                    <a:ln>
                      <a:noFill/>
                    </a:ln>
                  </pic:spPr>
                </pic:pic>
              </a:graphicData>
            </a:graphic>
          </wp:inline>
        </w:drawing>
      </w:r>
    </w:p>
    <w:p>
      <w:pPr>
        <w:spacing w:line="240" w:lineRule="auto"/>
        <w:ind w:firstLine="0" w:firstLineChars="0"/>
        <w:jc w:val="center"/>
        <w:rPr>
          <w:rFonts w:eastAsia="黑体"/>
          <w:color w:val="auto"/>
          <w:sz w:val="28"/>
          <w:szCs w:val="28"/>
          <w:highlight w:val="none"/>
        </w:rPr>
      </w:pPr>
      <w:r>
        <w:rPr>
          <w:rFonts w:hint="eastAsia" w:eastAsia="黑体"/>
          <w:color w:val="auto"/>
          <w:sz w:val="28"/>
          <w:szCs w:val="28"/>
          <w:highlight w:val="none"/>
        </w:rPr>
        <w:t>图</w:t>
      </w:r>
      <w:r>
        <w:rPr>
          <w:rFonts w:eastAsia="黑体"/>
          <w:color w:val="auto"/>
          <w:sz w:val="28"/>
          <w:szCs w:val="28"/>
          <w:highlight w:val="none"/>
        </w:rPr>
        <w:t>3</w:t>
      </w:r>
      <w:r>
        <w:rPr>
          <w:rFonts w:hint="eastAsia" w:eastAsia="黑体"/>
          <w:color w:val="auto"/>
          <w:sz w:val="28"/>
          <w:szCs w:val="28"/>
          <w:highlight w:val="none"/>
        </w:rPr>
        <w:t>—</w:t>
      </w:r>
      <w:r>
        <w:rPr>
          <w:rFonts w:eastAsia="黑体"/>
          <w:color w:val="auto"/>
          <w:sz w:val="28"/>
          <w:szCs w:val="28"/>
          <w:highlight w:val="none"/>
        </w:rPr>
        <w:t xml:space="preserve">2 </w:t>
      </w:r>
      <w:r>
        <w:rPr>
          <w:rFonts w:hint="eastAsia" w:eastAsia="黑体"/>
          <w:color w:val="auto"/>
          <w:sz w:val="28"/>
          <w:szCs w:val="28"/>
          <w:highlight w:val="none"/>
        </w:rPr>
        <w:t>家禽产业布局图</w:t>
      </w:r>
    </w:p>
    <w:p>
      <w:pPr>
        <w:ind w:firstLine="640"/>
        <w:rPr>
          <w:color w:val="auto"/>
          <w:highlight w:val="none"/>
        </w:rPr>
      </w:pPr>
    </w:p>
    <w:p>
      <w:pPr>
        <w:ind w:firstLine="640"/>
        <w:rPr>
          <w:color w:val="auto"/>
          <w:highlight w:val="none"/>
        </w:rPr>
      </w:pPr>
      <w:r>
        <w:rPr>
          <w:rFonts w:hint="eastAsia"/>
          <w:color w:val="auto"/>
          <w:highlight w:val="none"/>
        </w:rPr>
        <w:t>“一带”指依托产业发展现状，集生产、加工、展示、循环种养、休闲文化于一体的“</w:t>
      </w:r>
      <w:r>
        <w:rPr>
          <w:rFonts w:hint="eastAsia"/>
          <w:b/>
          <w:bCs/>
          <w:color w:val="auto"/>
          <w:highlight w:val="none"/>
        </w:rPr>
        <w:t>全产业链融合发展带</w:t>
      </w:r>
      <w:r>
        <w:rPr>
          <w:rFonts w:hint="eastAsia"/>
          <w:color w:val="auto"/>
          <w:highlight w:val="none"/>
        </w:rPr>
        <w:t>”；“两核”中的“</w:t>
      </w:r>
      <w:r>
        <w:rPr>
          <w:rFonts w:hint="eastAsia"/>
          <w:b/>
          <w:bCs/>
          <w:color w:val="auto"/>
          <w:highlight w:val="none"/>
        </w:rPr>
        <w:t>良种鸭繁育及加工核</w:t>
      </w:r>
      <w:r>
        <w:rPr>
          <w:rFonts w:hint="eastAsia"/>
          <w:color w:val="auto"/>
          <w:highlight w:val="none"/>
        </w:rPr>
        <w:t>”以柳州市柳南区实隆鸭产业示范区为依托打造品种繁育、种鸭养殖、种蛋孵化、肉鸭养殖示范、屠宰加工冷链一体化发展；</w:t>
      </w:r>
      <w:r>
        <w:rPr>
          <w:rFonts w:hint="eastAsia"/>
          <w:b/>
          <w:bCs/>
          <w:color w:val="auto"/>
          <w:highlight w:val="none"/>
        </w:rPr>
        <w:t>“精品鸡蛋标准化生产集聚核”</w:t>
      </w:r>
      <w:r>
        <w:rPr>
          <w:rFonts w:hint="eastAsia"/>
          <w:color w:val="auto"/>
          <w:highlight w:val="none"/>
        </w:rPr>
        <w:t>以柳南区宏华蛋鸡养殖示范区为依托打造精品蛋鸡、营养元素</w:t>
      </w:r>
      <w:r>
        <w:rPr>
          <w:rFonts w:hint="eastAsia"/>
          <w:color w:val="auto"/>
          <w:kern w:val="0"/>
          <w:szCs w:val="32"/>
          <w:highlight w:val="none"/>
        </w:rPr>
        <w:t>蛋鸡标准化</w:t>
      </w:r>
      <w:r>
        <w:rPr>
          <w:rFonts w:hint="eastAsia"/>
          <w:color w:val="auto"/>
          <w:highlight w:val="none"/>
        </w:rPr>
        <w:t>集聚发展；在洛满镇以桂禽蛋鸡生产基地为基础打造“家禽现代化养殖示范区”；在流山镇和洛满镇辐射发展生态种养，以林下养鸡及稻鸭种养为发展方向，打造“生态种养产业辐射区”，形成“两区”同建；在各镇的重点村布局多个生产基地，构建共同发展的现代化产业集聚发展模式。</w:t>
      </w:r>
    </w:p>
    <w:p>
      <w:pPr>
        <w:pStyle w:val="4"/>
        <w:ind w:firstLine="643"/>
        <w:rPr>
          <w:color w:val="auto"/>
          <w:highlight w:val="none"/>
        </w:rPr>
      </w:pPr>
      <w:r>
        <w:rPr>
          <w:rFonts w:hint="eastAsia"/>
          <w:color w:val="auto"/>
          <w:highlight w:val="none"/>
        </w:rPr>
        <w:t>三、桑蚕产业布局</w:t>
      </w:r>
    </w:p>
    <w:p>
      <w:pPr>
        <w:ind w:firstLine="640"/>
        <w:rPr>
          <w:color w:val="auto"/>
          <w:highlight w:val="none"/>
        </w:rPr>
      </w:pPr>
      <w:r>
        <w:rPr>
          <w:rFonts w:hint="eastAsia"/>
          <w:color w:val="auto"/>
          <w:highlight w:val="none"/>
        </w:rPr>
        <w:t>综合考虑土地属性、产业分布、市场前景、资源条件及生态承载能力等因素，桑蚕产业布局确定为</w:t>
      </w:r>
      <w:r>
        <w:rPr>
          <w:rFonts w:hint="eastAsia"/>
          <w:b/>
          <w:bCs/>
          <w:color w:val="auto"/>
          <w:highlight w:val="none"/>
        </w:rPr>
        <w:t>“一心一带两区”</w:t>
      </w:r>
      <w:r>
        <w:rPr>
          <w:rFonts w:hint="eastAsia"/>
          <w:color w:val="auto"/>
          <w:highlight w:val="none"/>
        </w:rPr>
        <w:t>。</w:t>
      </w:r>
    </w:p>
    <w:p>
      <w:pPr>
        <w:spacing w:line="240" w:lineRule="auto"/>
        <w:ind w:firstLine="0" w:firstLineChars="0"/>
        <w:rPr>
          <w:rFonts w:ascii="方正仿宋_GBK"/>
          <w:color w:val="auto"/>
          <w:highlight w:val="none"/>
        </w:rPr>
      </w:pPr>
      <w:r>
        <w:rPr>
          <w:color w:val="auto"/>
          <w:highlight w:val="none"/>
        </w:rPr>
        <w:drawing>
          <wp:inline distT="0" distB="0" distL="0" distR="0">
            <wp:extent cx="5738495" cy="4051935"/>
            <wp:effectExtent l="0" t="0" r="0" b="5715"/>
            <wp:docPr id="1454432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32972"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38495" cy="4051935"/>
                    </a:xfrm>
                    <a:prstGeom prst="rect">
                      <a:avLst/>
                    </a:prstGeom>
                    <a:noFill/>
                    <a:ln>
                      <a:noFill/>
                    </a:ln>
                  </pic:spPr>
                </pic:pic>
              </a:graphicData>
            </a:graphic>
          </wp:inline>
        </w:drawing>
      </w:r>
    </w:p>
    <w:p>
      <w:pPr>
        <w:spacing w:line="240" w:lineRule="auto"/>
        <w:ind w:firstLine="0" w:firstLineChars="0"/>
        <w:jc w:val="center"/>
        <w:rPr>
          <w:rFonts w:eastAsia="黑体"/>
          <w:color w:val="auto"/>
          <w:sz w:val="28"/>
          <w:szCs w:val="28"/>
          <w:highlight w:val="none"/>
        </w:rPr>
      </w:pPr>
      <w:r>
        <w:rPr>
          <w:rFonts w:hint="eastAsia" w:eastAsia="黑体"/>
          <w:color w:val="auto"/>
          <w:sz w:val="28"/>
          <w:szCs w:val="28"/>
          <w:highlight w:val="none"/>
        </w:rPr>
        <w:t>图</w:t>
      </w:r>
      <w:r>
        <w:rPr>
          <w:rFonts w:eastAsia="黑体"/>
          <w:color w:val="auto"/>
          <w:sz w:val="28"/>
          <w:szCs w:val="28"/>
          <w:highlight w:val="none"/>
        </w:rPr>
        <w:t>3</w:t>
      </w:r>
      <w:r>
        <w:rPr>
          <w:rFonts w:hint="eastAsia" w:eastAsia="黑体"/>
          <w:color w:val="auto"/>
          <w:sz w:val="28"/>
          <w:szCs w:val="28"/>
          <w:highlight w:val="none"/>
        </w:rPr>
        <w:t>—</w:t>
      </w:r>
      <w:r>
        <w:rPr>
          <w:rFonts w:eastAsia="黑体"/>
          <w:color w:val="auto"/>
          <w:sz w:val="28"/>
          <w:szCs w:val="28"/>
          <w:highlight w:val="none"/>
        </w:rPr>
        <w:t>3</w:t>
      </w:r>
      <w:r>
        <w:rPr>
          <w:rFonts w:hint="eastAsia" w:eastAsia="黑体"/>
          <w:color w:val="auto"/>
          <w:sz w:val="28"/>
          <w:szCs w:val="28"/>
          <w:highlight w:val="none"/>
        </w:rPr>
        <w:t xml:space="preserve"> 桑蚕产业布局图</w:t>
      </w:r>
    </w:p>
    <w:p>
      <w:pPr>
        <w:ind w:firstLine="640"/>
        <w:rPr>
          <w:color w:val="auto"/>
          <w:highlight w:val="none"/>
        </w:rPr>
      </w:pPr>
    </w:p>
    <w:p>
      <w:pPr>
        <w:ind w:firstLine="640"/>
        <w:rPr>
          <w:color w:val="auto"/>
          <w:highlight w:val="none"/>
        </w:rPr>
      </w:pPr>
      <w:r>
        <w:rPr>
          <w:rFonts w:hint="eastAsia" w:ascii="方正仿宋_GBK"/>
          <w:color w:val="auto"/>
          <w:highlight w:val="none"/>
        </w:rPr>
        <w:t>其中</w:t>
      </w:r>
      <w:r>
        <w:rPr>
          <w:rFonts w:hint="eastAsia" w:ascii="方正仿宋_GBK"/>
          <w:b/>
          <w:bCs/>
          <w:color w:val="auto"/>
          <w:highlight w:val="none"/>
        </w:rPr>
        <w:t>“一心”为桑蚕全产业链加工集聚中心</w:t>
      </w:r>
      <w:r>
        <w:rPr>
          <w:rFonts w:hint="eastAsia" w:ascii="方正仿宋_GBK"/>
          <w:color w:val="auto"/>
          <w:highlight w:val="none"/>
        </w:rPr>
        <w:t>，位于流山镇桑蚕产业示范园，包括蚕丝绸精深加工、科技创新、成果转化及农业双创等内容；“一带”是沿省道</w:t>
      </w:r>
      <w:r>
        <w:rPr>
          <w:rFonts w:hint="eastAsia"/>
          <w:color w:val="auto"/>
          <w:highlight w:val="none"/>
        </w:rPr>
        <w:t>S</w:t>
      </w:r>
      <w:r>
        <w:rPr>
          <w:color w:val="auto"/>
          <w:highlight w:val="none"/>
        </w:rPr>
        <w:t>210</w:t>
      </w:r>
      <w:r>
        <w:rPr>
          <w:rFonts w:hint="eastAsia" w:ascii="方正仿宋_GBK"/>
          <w:color w:val="auto"/>
          <w:highlight w:val="none"/>
        </w:rPr>
        <w:t>建设“丝绸桑蚕、食品桑蚕、观光旅游桑蚕”的桑蚕产业辐射发展示范带。“二区”是以流山镇为核心打造</w:t>
      </w:r>
      <w:r>
        <w:rPr>
          <w:rFonts w:hint="eastAsia" w:ascii="方正仿宋_GBK"/>
          <w:b/>
          <w:bCs/>
          <w:color w:val="auto"/>
          <w:highlight w:val="none"/>
        </w:rPr>
        <w:t>桑蚕全产业链高质量发展样板区</w:t>
      </w:r>
      <w:r>
        <w:rPr>
          <w:rFonts w:hint="eastAsia" w:ascii="方正仿宋_GBK"/>
          <w:color w:val="auto"/>
          <w:highlight w:val="none"/>
        </w:rPr>
        <w:t>，在洛满镇和太阳村镇打造</w:t>
      </w:r>
      <w:r>
        <w:rPr>
          <w:rFonts w:hint="eastAsia" w:ascii="方正仿宋_GBK"/>
          <w:b/>
          <w:bCs/>
          <w:color w:val="auto"/>
          <w:highlight w:val="none"/>
        </w:rPr>
        <w:t>桑蚕产业发展辐射区</w:t>
      </w:r>
      <w:r>
        <w:rPr>
          <w:rFonts w:hint="eastAsia" w:ascii="方正仿宋_GBK"/>
          <w:color w:val="auto"/>
          <w:highlight w:val="none"/>
        </w:rPr>
        <w:t>。</w:t>
      </w:r>
    </w:p>
    <w:p>
      <w:pPr>
        <w:widowControl/>
        <w:spacing w:line="240" w:lineRule="auto"/>
        <w:ind w:firstLine="0" w:firstLineChars="0"/>
        <w:jc w:val="left"/>
        <w:rPr>
          <w:color w:val="auto"/>
          <w:highlight w:val="none"/>
        </w:rPr>
      </w:pPr>
      <w:r>
        <w:rPr>
          <w:color w:val="auto"/>
          <w:highlight w:val="none"/>
        </w:rPr>
        <w:br w:type="page"/>
      </w:r>
    </w:p>
    <w:p>
      <w:pPr>
        <w:ind w:firstLine="640"/>
        <w:rPr>
          <w:color w:val="auto"/>
          <w:highlight w:val="none"/>
        </w:rPr>
      </w:pPr>
    </w:p>
    <w:p>
      <w:pPr>
        <w:pStyle w:val="2"/>
        <w:rPr>
          <w:color w:val="auto"/>
          <w:highlight w:val="none"/>
        </w:rPr>
      </w:pPr>
      <w:bookmarkStart w:id="33" w:name="_Toc150595434"/>
      <w:r>
        <w:rPr>
          <w:rFonts w:hint="eastAsia"/>
          <w:color w:val="auto"/>
          <w:highlight w:val="none"/>
        </w:rPr>
        <w:t>第三章  做强螺蛳粉原材料（含优质稻）产业</w:t>
      </w:r>
      <w:bookmarkEnd w:id="33"/>
    </w:p>
    <w:p>
      <w:pPr>
        <w:ind w:firstLine="640"/>
        <w:rPr>
          <w:color w:val="auto"/>
          <w:highlight w:val="none"/>
        </w:rPr>
      </w:pPr>
    </w:p>
    <w:p>
      <w:pPr>
        <w:pStyle w:val="3"/>
        <w:rPr>
          <w:rFonts w:ascii="Times New Roman" w:hAnsi="Times New Roman"/>
          <w:color w:val="auto"/>
          <w:highlight w:val="none"/>
        </w:rPr>
      </w:pPr>
      <w:bookmarkStart w:id="34" w:name="_Toc150595435"/>
      <w:bookmarkStart w:id="35" w:name="_Toc137565661"/>
      <w:r>
        <w:rPr>
          <w:rFonts w:hint="eastAsia" w:ascii="Times New Roman" w:hAnsi="Times New Roman"/>
          <w:color w:val="auto"/>
          <w:highlight w:val="none"/>
        </w:rPr>
        <w:t>第一节  基础条件</w:t>
      </w:r>
      <w:bookmarkEnd w:id="34"/>
      <w:bookmarkEnd w:id="35"/>
    </w:p>
    <w:p>
      <w:pPr>
        <w:pStyle w:val="4"/>
        <w:ind w:firstLine="643"/>
        <w:rPr>
          <w:color w:val="auto"/>
          <w:highlight w:val="none"/>
        </w:rPr>
      </w:pPr>
      <w:r>
        <w:rPr>
          <w:rFonts w:hint="eastAsia"/>
          <w:color w:val="auto"/>
          <w:highlight w:val="none"/>
        </w:rPr>
        <w:t>一、一产增量带动广</w:t>
      </w:r>
    </w:p>
    <w:p>
      <w:pPr>
        <w:ind w:firstLine="640"/>
        <w:rPr>
          <w:color w:val="auto"/>
          <w:highlight w:val="none"/>
        </w:rPr>
      </w:pPr>
      <w:r>
        <w:rPr>
          <w:rFonts w:hint="eastAsia"/>
          <w:color w:val="auto"/>
          <w:highlight w:val="none"/>
        </w:rPr>
        <w:t>以国家现代农业产业园为依托，柳南区已建成柳州市品种最多、面积最大的螺蛳粉原材料生产区，推动螺蛳粉产业列入全国农业全产业链重点链建设名单。组建</w:t>
      </w:r>
      <w:r>
        <w:rPr>
          <w:color w:val="auto"/>
          <w:highlight w:val="none"/>
        </w:rPr>
        <w:t>5</w:t>
      </w:r>
      <w:r>
        <w:rPr>
          <w:rFonts w:hint="eastAsia"/>
          <w:color w:val="auto"/>
          <w:highlight w:val="none"/>
        </w:rPr>
        <w:t>个农业产业化联合体，</w:t>
      </w:r>
      <w:r>
        <w:rPr>
          <w:color w:val="auto"/>
          <w:highlight w:val="none"/>
        </w:rPr>
        <w:t>带动2000多户脱贫户、1.1</w:t>
      </w:r>
      <w:r>
        <w:rPr>
          <w:rFonts w:hint="eastAsia"/>
          <w:color w:val="auto"/>
          <w:highlight w:val="none"/>
        </w:rPr>
        <w:t>万脱贫人口发展订单生产，融入产业链分享增值收益。通过“林种结构调整”、土壤环境修复、育苗基地建设和立体循环种养技术等应用，按照“五统一”“一控两减三基本”、绿色食品标准开展螺蛳粉原材料生产。</w:t>
      </w:r>
      <w:r>
        <w:rPr>
          <w:color w:val="auto"/>
          <w:highlight w:val="none"/>
        </w:rPr>
        <w:t>通过产业奖补、贷款贴息</w:t>
      </w:r>
      <w:r>
        <w:rPr>
          <w:rFonts w:hint="eastAsia"/>
          <w:color w:val="auto"/>
          <w:highlight w:val="none"/>
        </w:rPr>
        <w:t>、</w:t>
      </w:r>
      <w:r>
        <w:rPr>
          <w:color w:val="auto"/>
          <w:highlight w:val="none"/>
        </w:rPr>
        <w:t>价格风险补偿等扶持政策吸引企业、社会资本、农民合作社进入，扩大农产品种养规模。目前，柳南区笋用竹种植面积已超过</w:t>
      </w:r>
      <w:r>
        <w:rPr>
          <w:rFonts w:hint="eastAsia"/>
          <w:color w:val="auto"/>
          <w:highlight w:val="none"/>
        </w:rPr>
        <w:t>3</w:t>
      </w:r>
      <w:r>
        <w:rPr>
          <w:color w:val="auto"/>
          <w:highlight w:val="none"/>
        </w:rPr>
        <w:t>万亩，稻螺综合种养2500亩，有西南片区最大的蛋鸡和肉鸭养殖基地，蛋鸡</w:t>
      </w:r>
      <w:r>
        <w:rPr>
          <w:rFonts w:hint="eastAsia"/>
          <w:color w:val="auto"/>
          <w:highlight w:val="none"/>
        </w:rPr>
        <w:t>年存栏</w:t>
      </w:r>
      <w:r>
        <w:rPr>
          <w:color w:val="auto"/>
          <w:highlight w:val="none"/>
        </w:rPr>
        <w:t>200万羽和</w:t>
      </w:r>
      <w:r>
        <w:rPr>
          <w:rFonts w:hint="eastAsia"/>
          <w:color w:val="auto"/>
          <w:highlight w:val="none"/>
        </w:rPr>
        <w:t>年产鸭苗</w:t>
      </w:r>
      <w:r>
        <w:rPr>
          <w:color w:val="auto"/>
          <w:highlight w:val="none"/>
        </w:rPr>
        <w:t>1.6亿</w:t>
      </w:r>
      <w:r>
        <w:rPr>
          <w:rFonts w:hint="eastAsia"/>
          <w:color w:val="auto"/>
          <w:highlight w:val="none"/>
        </w:rPr>
        <w:t>羽</w:t>
      </w:r>
      <w:r>
        <w:rPr>
          <w:color w:val="auto"/>
          <w:highlight w:val="none"/>
        </w:rPr>
        <w:t>。获柳州市政府认定的螺蛳粉标准化原材料生产基地7个，获自治区四星级</w:t>
      </w:r>
      <w:r>
        <w:rPr>
          <w:rFonts w:hint="eastAsia"/>
          <w:color w:val="auto"/>
          <w:highlight w:val="none"/>
        </w:rPr>
        <w:t>现代农业</w:t>
      </w:r>
      <w:r>
        <w:rPr>
          <w:color w:val="auto"/>
          <w:highlight w:val="none"/>
        </w:rPr>
        <w:t>示范区</w:t>
      </w:r>
      <w:r>
        <w:rPr>
          <w:rFonts w:hint="eastAsia"/>
          <w:color w:val="auto"/>
          <w:highlight w:val="none"/>
        </w:rPr>
        <w:t>2</w:t>
      </w:r>
      <w:r>
        <w:rPr>
          <w:color w:val="auto"/>
          <w:highlight w:val="none"/>
        </w:rPr>
        <w:t>个。</w:t>
      </w:r>
    </w:p>
    <w:p>
      <w:pPr>
        <w:pStyle w:val="4"/>
        <w:ind w:firstLine="643"/>
        <w:rPr>
          <w:color w:val="auto"/>
          <w:highlight w:val="none"/>
        </w:rPr>
      </w:pPr>
      <w:r>
        <w:rPr>
          <w:rFonts w:hint="eastAsia"/>
          <w:color w:val="auto"/>
          <w:highlight w:val="none"/>
        </w:rPr>
        <w:t>二、二产集聚效益高</w:t>
      </w:r>
    </w:p>
    <w:p>
      <w:pPr>
        <w:ind w:firstLine="640"/>
        <w:rPr>
          <w:color w:val="auto"/>
          <w:highlight w:val="none"/>
        </w:rPr>
      </w:pPr>
      <w:r>
        <w:rPr>
          <w:rFonts w:hint="eastAsia"/>
          <w:color w:val="auto"/>
          <w:highlight w:val="none"/>
        </w:rPr>
        <w:t>柳南区建成500亩螺蛳粉生产集聚区，园区中央厨房每日可配送500多家实体店，实现粮食、蔬菜年加工能力16万吨，预包装螺蛳粉日产能100万袋，形成全国螺蛳粉产业链最完整、效益链最强集聚区。2022年柳南区柳州螺蛳粉生产企业46家、干米粉食品生产企业20家、酸笋酸豆角生产企业14家、预包装螺蛳粉品牌174个，全区预包装螺蛳粉销售收入达43.2亿元。</w:t>
      </w:r>
    </w:p>
    <w:p>
      <w:pPr>
        <w:pStyle w:val="4"/>
        <w:ind w:firstLine="643"/>
        <w:rPr>
          <w:color w:val="auto"/>
          <w:highlight w:val="none"/>
        </w:rPr>
      </w:pPr>
      <w:r>
        <w:rPr>
          <w:rFonts w:hint="eastAsia"/>
          <w:color w:val="auto"/>
          <w:highlight w:val="none"/>
        </w:rPr>
        <w:t>三、三产融合业态多</w:t>
      </w:r>
    </w:p>
    <w:p>
      <w:pPr>
        <w:ind w:firstLine="640"/>
        <w:rPr>
          <w:color w:val="auto"/>
          <w:highlight w:val="none"/>
        </w:rPr>
      </w:pPr>
      <w:r>
        <w:rPr>
          <w:rFonts w:hint="eastAsia"/>
          <w:color w:val="auto"/>
          <w:highlight w:val="none"/>
        </w:rPr>
        <w:t>推动螺蛳粉生产集聚区30家企业入驻阿里巴巴柳州产业带，发展“互联网+”电商模式，全区预包装螺蛳粉线上销量突破31亿元，呈现出“爆发式”增长态势。全区现有4家螺蛳粉商贸企业上规入统，依托中国美丽休闲乡村山湾村、国家4A级旅游景区螺蛳粉特色小镇，开展螺蛳粉特色文化休闲游活动，为旅游产业化发展增加动力。2022年竹海公园接待游客7万人次，实现旅游消费收入600万元。百乐村以租赁土地使用权给滑翔伞飞行营地形式，每年为百乐村带来5万元村集体经济收入，提供20多个村民就业岗位，实现村集体土地租金收益分红、企业盈利、村民家门口就业多赢局面。</w:t>
      </w:r>
    </w:p>
    <w:p>
      <w:pPr>
        <w:pStyle w:val="4"/>
        <w:ind w:firstLine="643"/>
        <w:rPr>
          <w:color w:val="auto"/>
          <w:highlight w:val="none"/>
        </w:rPr>
      </w:pPr>
      <w:r>
        <w:rPr>
          <w:rFonts w:hint="eastAsia"/>
          <w:color w:val="auto"/>
          <w:highlight w:val="none"/>
        </w:rPr>
        <w:t xml:space="preserve">四、品牌建设力度大 </w:t>
      </w:r>
    </w:p>
    <w:p>
      <w:pPr>
        <w:ind w:firstLine="640"/>
        <w:rPr>
          <w:color w:val="auto"/>
          <w:highlight w:val="none"/>
        </w:rPr>
      </w:pPr>
      <w:r>
        <w:rPr>
          <w:rFonts w:hint="eastAsia"/>
          <w:color w:val="auto"/>
          <w:highlight w:val="none"/>
        </w:rPr>
        <w:t>目前，柳南区龙头企业广西善元、广西觉味之城、广西川香坊等多家企业荣获“柳州螺蛳粉”地理标志证明企业。柳州螺蛳粉生产企业拥有自有、合法使用商标302个，获HACCP、ISO 9000、ISO 22000等各类证书共计64章，累计有12款螺蛳粉产品获得香港“优质正印”等高端品质认证证书。柳南区积极参与制定《毛木耳栽培技术规程》《豆角栽培技术规程》《水稻种植基地规范》等15个螺蛳粉原材料生产团体标准、地方标准，有效推进螺蛳粉原材料标准化生产，保障螺蛳粉原材料安全。柳南区人民政府支持螺蛳粉企业积极参加各类直播节和展会，提升螺蛳粉知名度，快速拉动销售；组织螺蛳粉企业积极参加广西“三·三消费节”、柳州市文旅大集市以及柳南区举办的农产品展销会，展会上全区品牌螺蛳粉踊跃开展专场促销、同步线上大促销；与此同时还开展特色农产品产销对接活动，组织大型农产品展销会及农产品进社区活动，促进柳南区农产品销售，增加消费者的购物选择，获得群众广泛欢迎。</w:t>
      </w:r>
    </w:p>
    <w:p>
      <w:pPr>
        <w:pStyle w:val="4"/>
        <w:ind w:firstLine="643"/>
        <w:rPr>
          <w:color w:val="auto"/>
          <w:highlight w:val="none"/>
        </w:rPr>
      </w:pPr>
      <w:r>
        <w:rPr>
          <w:rFonts w:hint="eastAsia"/>
          <w:color w:val="auto"/>
          <w:highlight w:val="none"/>
        </w:rPr>
        <w:t>五、政策支持强有力</w:t>
      </w:r>
    </w:p>
    <w:p>
      <w:pPr>
        <w:ind w:firstLine="640"/>
        <w:rPr>
          <w:color w:val="auto"/>
          <w:highlight w:val="none"/>
        </w:rPr>
      </w:pPr>
      <w:r>
        <w:rPr>
          <w:rFonts w:hint="eastAsia"/>
          <w:color w:val="auto"/>
          <w:highlight w:val="none"/>
        </w:rPr>
        <w:t>柳南区结合实际，出台了竹笋种植、木耳种植、林下经济以及撂荒土地治理等专项工作方案，加大螺蛳粉原材料种植（养殖）基地建设，全面加速产业集群发展水平。柳南区贯彻执行《粮食行业“十四五”发展规划纲要》，建设大米生产加工基地，增加专用粉等新产品供给，支持工业化米粉等主食产业化项目建设，将螺蛳粉原料产业发展同乡村振兴战略紧密结合。开展产业提升行动，制定出台了《柳南区加强2022年柳州螺蛳粉原材料基地建设及推进乡村振兴产业发展实施方案》，安排1300万元衔接资金用于螺蛳粉原材料的产业奖补和基地建设。截至2022年9月，已通过验收合格并发放产业奖补的豆角636.84亩、稻螺297.18亩、木耳63.54万棒、笋用竹4777.7亩。</w:t>
      </w:r>
    </w:p>
    <w:p>
      <w:pPr>
        <w:pStyle w:val="4"/>
        <w:ind w:firstLine="643"/>
        <w:rPr>
          <w:color w:val="auto"/>
          <w:highlight w:val="none"/>
        </w:rPr>
      </w:pPr>
      <w:r>
        <w:rPr>
          <w:rFonts w:hint="eastAsia"/>
          <w:color w:val="auto"/>
          <w:highlight w:val="none"/>
        </w:rPr>
        <w:t>六、产业扶贫成效好</w:t>
      </w:r>
    </w:p>
    <w:p>
      <w:pPr>
        <w:ind w:firstLine="640"/>
        <w:rPr>
          <w:color w:val="auto"/>
          <w:highlight w:val="none"/>
        </w:rPr>
      </w:pPr>
      <w:r>
        <w:rPr>
          <w:rFonts w:hint="eastAsia"/>
          <w:color w:val="auto"/>
          <w:highlight w:val="none"/>
        </w:rPr>
        <w:t>柳南区结合工业优势，突出螺蛳粉供给侧结构性改革，坚持以工业化理念谋划螺蛳粉产业发展，大力推进螺蛳粉生产集聚区建设，形成“一业带动，千人脱贫”良好局面。柳南区创新“股份分红”模式，“合作社+脱贫户+订单”模式，“合作社+就业车间+脱贫户”模式，“公司+基地+脱贫户”利益联结模式，以“订单农业”、集体生产设施租赁、资金入股等多种形式，开展随行就市，保底保量收购，让脱贫户在螺蛳粉产业供应链、加工链中充分受益，形成龙头集聚、联动发展新格局。2022年柳南区参与螺蛳粉原材料生产惠及的脱贫户600多户，人均年增收3300元以上，占全区建档立卡户60%以上，</w:t>
      </w:r>
      <w:r>
        <w:rPr>
          <w:color w:val="auto"/>
          <w:highlight w:val="none"/>
        </w:rPr>
        <w:t>螺蛳粉原材料产业成为</w:t>
      </w:r>
      <w:r>
        <w:rPr>
          <w:rFonts w:hint="eastAsia"/>
          <w:color w:val="auto"/>
          <w:highlight w:val="none"/>
        </w:rPr>
        <w:t>脱贫户</w:t>
      </w:r>
      <w:r>
        <w:rPr>
          <w:color w:val="auto"/>
          <w:highlight w:val="none"/>
        </w:rPr>
        <w:t>增收的主导产业。</w:t>
      </w:r>
    </w:p>
    <w:p>
      <w:pPr>
        <w:ind w:firstLine="640"/>
        <w:rPr>
          <w:color w:val="auto"/>
          <w:highlight w:val="none"/>
        </w:rPr>
      </w:pPr>
    </w:p>
    <w:p>
      <w:pPr>
        <w:pStyle w:val="3"/>
        <w:rPr>
          <w:rFonts w:ascii="Times New Roman" w:hAnsi="Times New Roman"/>
          <w:color w:val="auto"/>
          <w:highlight w:val="none"/>
        </w:rPr>
      </w:pPr>
      <w:bookmarkStart w:id="36" w:name="_Toc137565662"/>
      <w:bookmarkStart w:id="37" w:name="_Toc150595436"/>
      <w:r>
        <w:rPr>
          <w:rFonts w:hint="eastAsia" w:ascii="Times New Roman" w:hAnsi="Times New Roman"/>
          <w:color w:val="auto"/>
          <w:highlight w:val="none"/>
        </w:rPr>
        <w:t>第二节  发展思路</w:t>
      </w:r>
      <w:bookmarkEnd w:id="36"/>
      <w:bookmarkEnd w:id="37"/>
    </w:p>
    <w:p>
      <w:pPr>
        <w:ind w:firstLine="640"/>
        <w:rPr>
          <w:color w:val="auto"/>
          <w:highlight w:val="none"/>
        </w:rPr>
      </w:pPr>
      <w:bookmarkStart w:id="38" w:name="_Hlk137203280"/>
      <w:r>
        <w:rPr>
          <w:color w:val="auto"/>
          <w:highlight w:val="none"/>
        </w:rPr>
        <w:t>柳南区</w:t>
      </w:r>
      <w:r>
        <w:rPr>
          <w:rFonts w:hint="eastAsia"/>
          <w:color w:val="auto"/>
          <w:highlight w:val="none"/>
        </w:rPr>
        <w:t>以增产量、优结构、提效能为抓手，全力打造一批柳州螺蛳粉原材料种植（养殖）示范基地，推动柳州螺蛳粉原材料本地化生产。坚持“工业化理念、产业化思维”发展螺蛳粉产业，以“一产接二连三，二产向一产、三产延伸，三产向一产、二产渗透”为发展思路，</w:t>
      </w:r>
      <w:bookmarkStart w:id="39" w:name="_Hlk137220847"/>
      <w:r>
        <w:rPr>
          <w:rFonts w:hint="eastAsia"/>
          <w:color w:val="auto"/>
          <w:highlight w:val="none"/>
        </w:rPr>
        <w:t>扩展标准化螺蛳粉原材料基地，全面实施高标准农田、螺蛳健康养殖场、生态竹园等建设，加强农机农艺、机械化信息化融合</w:t>
      </w:r>
      <w:bookmarkEnd w:id="39"/>
      <w:r>
        <w:rPr>
          <w:rFonts w:hint="eastAsia"/>
          <w:color w:val="auto"/>
          <w:highlight w:val="none"/>
        </w:rPr>
        <w:t>，发展以柳南区为中心的柳州螺蛳粉生产集聚区，实现从螺蛳粉原材料种植、养殖业，到米粉、酸笋等螺蛳粉原材料深加工及预包装螺蛳粉生产，延伸至物流配送、餐饮、农业生态休闲观光、工业旅游等全产业链融合发展，形成全国螺蛳粉产业链最长、链条最完整、效益链最强的产业带。</w:t>
      </w:r>
    </w:p>
    <w:bookmarkEnd w:id="38"/>
    <w:p>
      <w:pPr>
        <w:ind w:firstLine="640"/>
        <w:rPr>
          <w:color w:val="auto"/>
          <w:highlight w:val="none"/>
        </w:rPr>
      </w:pPr>
    </w:p>
    <w:p>
      <w:pPr>
        <w:pStyle w:val="3"/>
        <w:rPr>
          <w:rFonts w:ascii="Times New Roman" w:hAnsi="Times New Roman"/>
          <w:color w:val="auto"/>
          <w:highlight w:val="none"/>
        </w:rPr>
      </w:pPr>
      <w:bookmarkStart w:id="40" w:name="_Toc150595437"/>
      <w:bookmarkStart w:id="41" w:name="_Toc137565663"/>
      <w:r>
        <w:rPr>
          <w:rFonts w:hint="eastAsia" w:ascii="Times New Roman" w:hAnsi="Times New Roman"/>
          <w:color w:val="auto"/>
          <w:highlight w:val="none"/>
        </w:rPr>
        <w:t>第三节  预期目标</w:t>
      </w:r>
      <w:bookmarkEnd w:id="40"/>
      <w:bookmarkEnd w:id="41"/>
    </w:p>
    <w:p>
      <w:pPr>
        <w:ind w:firstLine="640"/>
        <w:rPr>
          <w:color w:val="auto"/>
          <w:highlight w:val="none"/>
        </w:rPr>
      </w:pPr>
      <w:r>
        <w:rPr>
          <w:rFonts w:hint="eastAsia"/>
          <w:color w:val="auto"/>
          <w:highlight w:val="none"/>
        </w:rPr>
        <w:t>到2025年底，确保完成水稻种植任务，全区建成5个标准化优质稻生产基地，实现水稻产业稳产保供；实施“林种结构调整”，力争笋用竹种植面积突破5万亩，竹笋年产量达10万吨；到2</w:t>
      </w:r>
      <w:r>
        <w:rPr>
          <w:color w:val="auto"/>
          <w:highlight w:val="none"/>
        </w:rPr>
        <w:t>025年，</w:t>
      </w:r>
      <w:r>
        <w:rPr>
          <w:rFonts w:hint="eastAsia"/>
          <w:color w:val="auto"/>
          <w:highlight w:val="none"/>
        </w:rPr>
        <w:t>全区螺蛳粉原材料产值达到10亿元；设施生产食用菌产量力争达4</w:t>
      </w:r>
      <w:r>
        <w:rPr>
          <w:color w:val="auto"/>
          <w:highlight w:val="none"/>
        </w:rPr>
        <w:t>000</w:t>
      </w:r>
      <w:r>
        <w:rPr>
          <w:rFonts w:hint="eastAsia"/>
          <w:color w:val="auto"/>
          <w:highlight w:val="none"/>
        </w:rPr>
        <w:t>吨以上，产值力争达</w:t>
      </w:r>
      <w:r>
        <w:rPr>
          <w:color w:val="auto"/>
          <w:highlight w:val="none"/>
        </w:rPr>
        <w:t>0.</w:t>
      </w:r>
      <w:r>
        <w:rPr>
          <w:rFonts w:hint="eastAsia"/>
          <w:color w:val="auto"/>
          <w:highlight w:val="none"/>
        </w:rPr>
        <w:t>2亿元以上。</w:t>
      </w:r>
      <w:r>
        <w:rPr>
          <w:rFonts w:hint="eastAsia"/>
          <w:b/>
          <w:bCs/>
          <w:color w:val="auto"/>
          <w:highlight w:val="none"/>
        </w:rPr>
        <w:t>加工流通链条快速延伸</w:t>
      </w:r>
      <w:r>
        <w:rPr>
          <w:rFonts w:hint="eastAsia"/>
          <w:color w:val="auto"/>
          <w:highlight w:val="none"/>
        </w:rPr>
        <w:t>。到2</w:t>
      </w:r>
      <w:r>
        <w:rPr>
          <w:color w:val="auto"/>
          <w:highlight w:val="none"/>
        </w:rPr>
        <w:t>025</w:t>
      </w:r>
      <w:r>
        <w:rPr>
          <w:rFonts w:hint="eastAsia"/>
          <w:color w:val="auto"/>
          <w:highlight w:val="none"/>
        </w:rPr>
        <w:t>年，螺蛳粉加工园区引进螺蛳粉企业20家以上，培育多家年产值超亿元的袋包装螺蛳粉生产企业；柳南区</w:t>
      </w:r>
      <w:r>
        <w:rPr>
          <w:rFonts w:hint="eastAsia"/>
          <w:color w:val="auto"/>
          <w:kern w:val="0"/>
          <w:szCs w:val="32"/>
          <w:highlight w:val="none"/>
        </w:rPr>
        <w:t>柳州螺蛳粉全产业链产值力争达到200亿元</w:t>
      </w:r>
      <w:r>
        <w:rPr>
          <w:rFonts w:hint="eastAsia"/>
          <w:color w:val="auto"/>
          <w:szCs w:val="32"/>
          <w:highlight w:val="none"/>
        </w:rPr>
        <w:t>，预包装柳州螺蛳粉力争实现销售收入超</w:t>
      </w:r>
      <w:r>
        <w:rPr>
          <w:color w:val="auto"/>
          <w:szCs w:val="32"/>
          <w:highlight w:val="none"/>
        </w:rPr>
        <w:t>65</w:t>
      </w:r>
      <w:r>
        <w:rPr>
          <w:rFonts w:hint="eastAsia"/>
          <w:color w:val="auto"/>
          <w:szCs w:val="32"/>
          <w:highlight w:val="none"/>
        </w:rPr>
        <w:t>亿元，配套及衍生产业产值达到</w:t>
      </w:r>
      <w:r>
        <w:rPr>
          <w:color w:val="auto"/>
          <w:szCs w:val="32"/>
          <w:highlight w:val="none"/>
        </w:rPr>
        <w:t>1</w:t>
      </w:r>
      <w:r>
        <w:rPr>
          <w:rFonts w:hint="eastAsia"/>
          <w:color w:val="auto"/>
          <w:szCs w:val="32"/>
          <w:highlight w:val="none"/>
        </w:rPr>
        <w:t>35亿元</w:t>
      </w:r>
      <w:r>
        <w:rPr>
          <w:rFonts w:hint="eastAsia"/>
          <w:color w:val="auto"/>
          <w:highlight w:val="none"/>
        </w:rPr>
        <w:t>。</w:t>
      </w:r>
      <w:r>
        <w:rPr>
          <w:rFonts w:hint="eastAsia"/>
          <w:b/>
          <w:bCs/>
          <w:color w:val="auto"/>
          <w:highlight w:val="none"/>
        </w:rPr>
        <w:t>科技支撑能力明显增强。</w:t>
      </w:r>
      <w:r>
        <w:rPr>
          <w:rFonts w:hint="eastAsia"/>
          <w:color w:val="auto"/>
          <w:highlight w:val="none"/>
        </w:rPr>
        <w:t>提升产业园科技支撑能力，加强与国内外科研院所、高科技企业合作，完善麻竹种苗繁育基地、螺蛳种苗繁育中心、木耳产学研合作技术研发示范基地建设，农业科技进步贡献率明显提升，产业园内螺蛳粉原材料良种覆盖率达到98</w:t>
      </w:r>
      <w:r>
        <w:rPr>
          <w:color w:val="auto"/>
          <w:highlight w:val="none"/>
        </w:rPr>
        <w:t>%</w:t>
      </w:r>
      <w:r>
        <w:rPr>
          <w:rFonts w:hint="eastAsia"/>
          <w:color w:val="auto"/>
          <w:highlight w:val="none"/>
        </w:rPr>
        <w:t>。</w:t>
      </w:r>
      <w:r>
        <w:rPr>
          <w:rFonts w:hint="eastAsia"/>
          <w:b/>
          <w:bCs/>
          <w:color w:val="auto"/>
          <w:highlight w:val="none"/>
        </w:rPr>
        <w:t>物质装备明显升级。</w:t>
      </w:r>
      <w:r>
        <w:rPr>
          <w:rFonts w:hint="eastAsia"/>
          <w:color w:val="auto"/>
          <w:highlight w:val="none"/>
        </w:rPr>
        <w:t>产业园内全面实施高标准农田、生态竹园、</w:t>
      </w:r>
      <w:bookmarkStart w:id="42" w:name="_Hlk137539311"/>
      <w:r>
        <w:rPr>
          <w:rFonts w:hint="eastAsia"/>
          <w:color w:val="auto"/>
          <w:highlight w:val="none"/>
        </w:rPr>
        <w:t>螺蛳健康养殖场</w:t>
      </w:r>
      <w:bookmarkEnd w:id="42"/>
      <w:r>
        <w:rPr>
          <w:rFonts w:hint="eastAsia"/>
          <w:color w:val="auto"/>
          <w:highlight w:val="none"/>
        </w:rPr>
        <w:t>建设，到2025年，高标准农田比重达到70%以上；加强农机农艺融合、机械化信息化融合，产业园基础设施和公共服务设施进一步完备。</w:t>
      </w:r>
      <w:r>
        <w:rPr>
          <w:rFonts w:hint="eastAsia"/>
          <w:b/>
          <w:bCs/>
          <w:color w:val="auto"/>
          <w:highlight w:val="none"/>
        </w:rPr>
        <w:t>绿色发展水平显著提升。</w:t>
      </w:r>
      <w:r>
        <w:rPr>
          <w:rFonts w:hint="eastAsia"/>
          <w:color w:val="auto"/>
          <w:highlight w:val="none"/>
        </w:rPr>
        <w:t>全区全面实现农业“一控两减三基本”目标，进一步提升“三品一标”产品产地认证面积，强化质量安全监管和检验检测能力建设，到2025年螺蛳粉原材料质量检测合格率达99</w:t>
      </w:r>
      <w:r>
        <w:rPr>
          <w:color w:val="auto"/>
          <w:highlight w:val="none"/>
        </w:rPr>
        <w:t>%</w:t>
      </w:r>
      <w:r>
        <w:rPr>
          <w:rFonts w:hint="eastAsia"/>
          <w:color w:val="auto"/>
          <w:highlight w:val="none"/>
        </w:rPr>
        <w:t>以上</w:t>
      </w:r>
      <w:r>
        <w:rPr>
          <w:color w:val="auto"/>
          <w:highlight w:val="none"/>
        </w:rPr>
        <w:t>，</w:t>
      </w:r>
      <w:r>
        <w:rPr>
          <w:rFonts w:hint="eastAsia"/>
          <w:color w:val="auto"/>
          <w:highlight w:val="none"/>
        </w:rPr>
        <w:t>将产业园打造成全国从田间到餐桌全程食品质量管理示范窗口。</w:t>
      </w:r>
    </w:p>
    <w:p>
      <w:pPr>
        <w:ind w:firstLine="640"/>
        <w:rPr>
          <w:color w:val="auto"/>
          <w:highlight w:val="none"/>
        </w:rPr>
      </w:pPr>
    </w:p>
    <w:p>
      <w:pPr>
        <w:pStyle w:val="3"/>
        <w:rPr>
          <w:rFonts w:ascii="Times New Roman" w:hAnsi="Times New Roman"/>
          <w:color w:val="auto"/>
          <w:highlight w:val="none"/>
        </w:rPr>
      </w:pPr>
      <w:bookmarkStart w:id="43" w:name="_Toc137565664"/>
      <w:bookmarkStart w:id="44" w:name="_Toc150595438"/>
      <w:r>
        <w:rPr>
          <w:rFonts w:hint="eastAsia" w:ascii="Times New Roman" w:hAnsi="Times New Roman"/>
          <w:color w:val="auto"/>
          <w:highlight w:val="none"/>
        </w:rPr>
        <w:t>第四节  重点任务</w:t>
      </w:r>
      <w:bookmarkEnd w:id="43"/>
      <w:bookmarkEnd w:id="44"/>
    </w:p>
    <w:p>
      <w:pPr>
        <w:pStyle w:val="4"/>
        <w:ind w:firstLine="643"/>
        <w:rPr>
          <w:color w:val="auto"/>
          <w:highlight w:val="none"/>
        </w:rPr>
      </w:pPr>
      <w:r>
        <w:rPr>
          <w:rFonts w:hint="eastAsia"/>
          <w:color w:val="auto"/>
          <w:highlight w:val="none"/>
        </w:rPr>
        <w:t>一、落实并加强耕地保护</w:t>
      </w:r>
    </w:p>
    <w:p>
      <w:pPr>
        <w:ind w:firstLine="640"/>
        <w:rPr>
          <w:color w:val="auto"/>
          <w:highlight w:val="none"/>
        </w:rPr>
      </w:pPr>
      <w:r>
        <w:rPr>
          <w:rFonts w:hint="eastAsia"/>
          <w:color w:val="auto"/>
          <w:highlight w:val="none"/>
        </w:rPr>
        <w:t>全区落实最严格的耕地保护制度，将“长牙齿”的耕地保护硬措施落实到位，将耕地保护任务落实到责任人、责任地块和责任网格，实现地有人种、田有人管、责有人担，形成一级抓一级、层层抓落实，保护责任全覆盖的耕地保护机制。柳南区坚决遏制耕地“非农化”、严格管控耕地“非粮化”，确保全区耕地数量不减少、质量有提升，牢牢守住耕地保护红线和粮食安全底线。坚持生态优先绿色发展理念，转变发展方式，减少化肥投入，保障稻米有效供给和保护农业生态环境，进一步做好耕地保护与质量提升。全区不断加强耕地质量动态监测，推进耕地质量监测点建设，开展区域耕地质量调查评价、耕地质量等级评价成果图件和不同区域耕地质量变化现状等耕地质量动态监测工作。力争到2025年，全区耕地质量平均等级提高0.3个等级以上。</w:t>
      </w:r>
    </w:p>
    <w:p>
      <w:pPr>
        <w:pStyle w:val="4"/>
        <w:ind w:firstLine="643"/>
        <w:rPr>
          <w:color w:val="auto"/>
          <w:highlight w:val="none"/>
        </w:rPr>
      </w:pPr>
      <w:r>
        <w:rPr>
          <w:rFonts w:hint="eastAsia"/>
          <w:color w:val="auto"/>
          <w:highlight w:val="none"/>
        </w:rPr>
        <w:t>二、扩大种植、养殖规模</w:t>
      </w:r>
    </w:p>
    <w:p>
      <w:pPr>
        <w:ind w:firstLine="640"/>
        <w:rPr>
          <w:color w:val="auto"/>
          <w:highlight w:val="none"/>
        </w:rPr>
      </w:pPr>
      <w:r>
        <w:rPr>
          <w:rFonts w:hint="eastAsia"/>
          <w:color w:val="auto"/>
          <w:highlight w:val="none"/>
        </w:rPr>
        <w:t>产业园内全面实施高标准农田，大力实施高标准农田建设工程，完善沟、桥、路、渠、涵、林、电等基础设施，着力打造一批“集中连片、旱涝保收、宜机作业、节水高效、稳产高产、生态友好”的高标准农田。到2025年底，高标准农田比重达到70%以上，确保完成水稻种植任务，建成5个标准化优质稻生产基地，实现水稻产业稳产保供。柳南区继续采用公司（合作社）+农户+基地的方式，加快竹笋基地建设步伐，实施“退桉改竹”，力争到2025年笋用竹种植面积突破5万亩，竹笋年产量达10万吨，实现生态竹园比例达到65%以上；示范推广食用菌立体栽培技术，到2025年力争设施生产食用菌产量达4000吨以上，产值达0.2亿元；建设螺蛳健康养殖场、豆角种植基地及辣椒种植基地（套种），带动螺蛳粉原材料生产基地标准化、规模化发展，豆角种植面积达1000亩，辣椒种植面积达1300亩；开展原材料生产基地建设工程，重点打造多个高标准稻螺、竹笋、豆角、木耳、辣椒基地，推动螺蛳粉原材料生产要素集聚化、规模化、现代化发展，力争获得柳州螺蛳粉原材料示范基地认定累计7个，螺蛳粉原材料产值达到10亿元以上。</w:t>
      </w:r>
    </w:p>
    <w:p>
      <w:pPr>
        <w:pStyle w:val="4"/>
        <w:ind w:firstLine="643"/>
        <w:rPr>
          <w:color w:val="auto"/>
          <w:highlight w:val="none"/>
        </w:rPr>
      </w:pPr>
      <w:r>
        <w:rPr>
          <w:rFonts w:hint="eastAsia"/>
          <w:color w:val="auto"/>
          <w:highlight w:val="none"/>
        </w:rPr>
        <w:t>三、生产技术设备升级</w:t>
      </w:r>
    </w:p>
    <w:p>
      <w:pPr>
        <w:ind w:firstLine="640"/>
        <w:rPr>
          <w:color w:val="auto"/>
          <w:highlight w:val="none"/>
        </w:rPr>
      </w:pPr>
      <w:r>
        <w:rPr>
          <w:rFonts w:hint="eastAsia"/>
          <w:color w:val="auto"/>
          <w:highlight w:val="none"/>
        </w:rPr>
        <w:t>柳南区不断推广高速插秧机、穴直播机、联合收割机、无人植保机、测土配方施肥仪等先进农业机械，重点集成推广蔬菜种植智能控制、智能催芽育苗、水肥一体化灌溉、秸秆还田等技术，进行标准化、绿色生态种养模式试验研究。到2025年，全区农作物秸秆综合利用率达93%以上，加强农机农艺融合、机械化信息化融合，水稻耕种收综合机械化水平达80%以上。柳南区组织农业技术推广人员，开展螺蛳粉原材料种养技术指导，对规模较大的螺蛳粉原材料生产基地进行标准化提升。推广稻螺综合种养新模式，通过以稻促螺、以螺保稻、相互利用，实现一水两用、一田双收。到2025年实现稻螺共生比例达到65%以上。</w:t>
      </w:r>
    </w:p>
    <w:p>
      <w:pPr>
        <w:pStyle w:val="4"/>
        <w:ind w:firstLine="643"/>
        <w:rPr>
          <w:color w:val="auto"/>
          <w:highlight w:val="none"/>
        </w:rPr>
      </w:pPr>
      <w:r>
        <w:rPr>
          <w:rFonts w:hint="eastAsia"/>
          <w:color w:val="auto"/>
          <w:highlight w:val="none"/>
        </w:rPr>
        <w:t>四、提升科技支撑力度</w:t>
      </w:r>
    </w:p>
    <w:p>
      <w:pPr>
        <w:ind w:firstLine="640"/>
        <w:rPr>
          <w:color w:val="auto"/>
          <w:highlight w:val="none"/>
        </w:rPr>
      </w:pPr>
      <w:r>
        <w:rPr>
          <w:rFonts w:hint="eastAsia"/>
          <w:color w:val="auto"/>
          <w:highlight w:val="none"/>
        </w:rPr>
        <w:t>柳南区不断加强产业关键核心技术攻关与资金投入，提升柳州螺蛳粉全产业链自动化、智能化、信息化水平。每年推荐1家（含）以上企业申报科技型中小企业或高新技术企业，每年在螺蛳粉行业引育或柔性引进1个（含）以上E类（含）以上高层次人才和团队。进一步加强与知名高校、科研院所、企业深入开展产学研用合作，开展螺蛳粉原材料研发、螺蛳粉酸料特征性风味物质形成机制研究项目、稻螺种养机械化收获装备开发与应用示范等科技研发，形成相关生产标准，提升柳州螺蛳粉产业科技创新水平。完善麻竹种苗繁育基地、螺蛳种苗繁育中心、木耳产学研合作技术研发示范基地建设，推进螺蛳粉原材料良种繁育技术，建立健全柳南螺蛳粉原材料良种繁育一体化体系，加大优良新品种良种繁育力度，加强种苗繁育体系建设，规范种苗繁育，大力培育新品种、脱毒健康种苗，到2025年，螺蛳粉原材料农业科技进步贡献率明显提升，良种覆盖率达到98%。</w:t>
      </w:r>
    </w:p>
    <w:p>
      <w:pPr>
        <w:pStyle w:val="4"/>
        <w:ind w:firstLine="643"/>
        <w:rPr>
          <w:color w:val="auto"/>
          <w:highlight w:val="none"/>
        </w:rPr>
      </w:pPr>
      <w:r>
        <w:rPr>
          <w:rFonts w:hint="eastAsia"/>
          <w:color w:val="auto"/>
          <w:highlight w:val="none"/>
        </w:rPr>
        <w:t>五、强化动植物疫病防控</w:t>
      </w:r>
    </w:p>
    <w:p>
      <w:pPr>
        <w:ind w:firstLine="640"/>
        <w:rPr>
          <w:color w:val="auto"/>
          <w:highlight w:val="none"/>
        </w:rPr>
      </w:pPr>
      <w:r>
        <w:rPr>
          <w:rFonts w:hint="eastAsia"/>
          <w:color w:val="auto"/>
          <w:highlight w:val="none"/>
        </w:rPr>
        <w:t>柳南区将以螺蛳粉原材料、家禽、桑蚕、玉米、油茶、生猪、肉牛生产为重点，加强病虫害统防统治，组建统防统治专业化服务组织，以山湾村数字农业平台的有害生物监控和绿色防控技术指导中心为抓手，建病虫测报点，购置防治药剂、太阳能杀虫灯、田间作业防护用品、机械维护用品和病虫害调查工具等；健全动物防疫和农作物病虫害防治体系，加强种子苗木检疫监管、螺蛳防疫、农作物重大病虫疫情监测预警及阻断防控。</w:t>
      </w:r>
    </w:p>
    <w:p>
      <w:pPr>
        <w:pStyle w:val="4"/>
        <w:ind w:firstLine="643"/>
        <w:rPr>
          <w:color w:val="auto"/>
          <w:highlight w:val="none"/>
        </w:rPr>
      </w:pPr>
      <w:r>
        <w:rPr>
          <w:rFonts w:hint="eastAsia"/>
          <w:color w:val="auto"/>
          <w:highlight w:val="none"/>
        </w:rPr>
        <w:t>六、保障农产品质量安全</w:t>
      </w:r>
    </w:p>
    <w:p>
      <w:pPr>
        <w:ind w:firstLine="640"/>
        <w:rPr>
          <w:color w:val="auto"/>
          <w:highlight w:val="none"/>
        </w:rPr>
      </w:pPr>
      <w:r>
        <w:rPr>
          <w:rFonts w:hint="eastAsia"/>
          <w:color w:val="auto"/>
          <w:highlight w:val="none"/>
        </w:rPr>
        <w:t>柳南区重点建设柳州螺蛳粉产业融合智慧监管大数据项目，力争到2025年实现覆盖柳州螺蛳粉产业原材料种养、原料初加工、袋装柳州螺蛳粉生产销售的智慧监管和数据服务功能，构建柳州螺蛳粉产业全产业链数据采集、预警、监管体系，到2025年末，农业科技进步贡献率明显提升，智慧农业覆盖率达到60%以上。全区推行“一控两减三基本”，强化柳州螺蛳粉食品安全监管和检验检测力度，强化质量安全监管和检验检测能力建设，建设投入在线管理体系和质量追溯体系，加强质量安全监管，实现柳州螺蛳粉“从田间到餐桌”的全程质量控制，将产业园打造成全国“从田间到餐桌”全程食品质量管理示范窗口，到2025年螺蛳粉原材料质量</w:t>
      </w:r>
      <w:r>
        <w:rPr>
          <w:rFonts w:hint="eastAsia"/>
          <w:color w:val="auto"/>
          <w:spacing w:val="-2"/>
          <w:highlight w:val="none"/>
        </w:rPr>
        <w:t>检测合格率达99%以上，进一步提升“三品一标”产品产地认证面积，稳步提高农产品质量安全水平，实现螺蛳粉原材料绿色发展。</w:t>
      </w:r>
    </w:p>
    <w:p>
      <w:pPr>
        <w:pStyle w:val="4"/>
        <w:ind w:firstLine="643"/>
        <w:rPr>
          <w:color w:val="auto"/>
          <w:highlight w:val="none"/>
        </w:rPr>
      </w:pPr>
      <w:r>
        <w:rPr>
          <w:rFonts w:hint="eastAsia"/>
          <w:color w:val="auto"/>
          <w:highlight w:val="none"/>
        </w:rPr>
        <w:t>七、拓展螺蛳粉全产业链</w:t>
      </w:r>
    </w:p>
    <w:p>
      <w:pPr>
        <w:ind w:firstLine="640"/>
        <w:rPr>
          <w:color w:val="auto"/>
          <w:highlight w:val="none"/>
        </w:rPr>
      </w:pPr>
      <w:r>
        <w:rPr>
          <w:rFonts w:hint="eastAsia"/>
          <w:color w:val="auto"/>
          <w:highlight w:val="none"/>
        </w:rPr>
        <w:t>柳南区持续加大对米粉、酸笋、豆角、螺蛳等螺蛳粉原材料加工及物流配送企业的扶持力度，快速延伸加工流通链条，到2025年加工龙头企业实力更强，螺蛳粉加工园区引进螺蛳粉企业20家以上，培育1—2家年产值超过5亿元和多家年产值超亿元的袋装柳州螺蛳粉生产企业；柳州螺蛳粉全产业链产值力争达到200亿元，预包装柳州螺蛳粉力争实现销售收入超65亿元，配套及衍生产业产值达到135亿元。柳南区以市场需求为导向，支持电商进驻现代特色农业示范区，创新“互联网+”电商营销模式，拓宽农产品供应上行渠道，培育农商直供、直播直销、会员制、个人定制等模式，推进农商互联、产销衔接，促进示范区生产、加工、销售和终端消费群体连成一体，增强供给结构对需求变化的适应性和灵活性。全区力争到2025年建成具备低温仓储、流通加工、交易展示、中转集散和分拨配送等功能的冷链物流园区。</w:t>
      </w:r>
    </w:p>
    <w:p>
      <w:pPr>
        <w:pStyle w:val="4"/>
        <w:ind w:firstLine="643"/>
        <w:rPr>
          <w:color w:val="auto"/>
          <w:highlight w:val="none"/>
        </w:rPr>
      </w:pPr>
      <w:r>
        <w:rPr>
          <w:rFonts w:hint="eastAsia"/>
          <w:color w:val="auto"/>
          <w:highlight w:val="none"/>
        </w:rPr>
        <w:t>八、筹建柳州螺蛳粉原材料交易市场</w:t>
      </w:r>
    </w:p>
    <w:p>
      <w:pPr>
        <w:ind w:firstLine="640"/>
        <w:rPr>
          <w:color w:val="auto"/>
          <w:highlight w:val="none"/>
        </w:rPr>
      </w:pPr>
      <w:r>
        <w:rPr>
          <w:rFonts w:hint="eastAsia"/>
          <w:color w:val="auto"/>
          <w:highlight w:val="none"/>
        </w:rPr>
        <w:t>柳南区规划建设集零售、批发、电商、现代物流为一体的柳州螺蛳粉原材料交易市场，配套完善清洗、分级、包装预冷、冷藏等采后服务设施建设，完善交易、物流、营销等配套设施，立足柳南区辐射全国，以柳南区的螺蛳粉原材料为主面向全国的专业化特色农产品交易市场；完善螺蛳粉原材料一二三产融合发展，延长柳州螺蛳粉产业链。柳南区依托龙头企业谋划构建面向全国、服务全柳州螺蛳粉行业，打造线上线下、现货期货相结合的螺蛳粉原材料交易市场。交易市场实行统一定价、统一检验、统一交易、统一配送、统一结算，推动螺蛳粉原材料高质量发展。</w:t>
      </w:r>
    </w:p>
    <w:p>
      <w:pPr>
        <w:pStyle w:val="4"/>
        <w:ind w:firstLine="643"/>
        <w:rPr>
          <w:color w:val="auto"/>
          <w:highlight w:val="none"/>
        </w:rPr>
      </w:pPr>
      <w:r>
        <w:rPr>
          <w:rFonts w:hint="eastAsia"/>
          <w:color w:val="auto"/>
          <w:highlight w:val="none"/>
        </w:rPr>
        <w:t>九、打造螺蛳粉小镇产业集群样板</w:t>
      </w:r>
    </w:p>
    <w:p>
      <w:pPr>
        <w:ind w:firstLine="640"/>
        <w:rPr>
          <w:color w:val="auto"/>
          <w:highlight w:val="none"/>
        </w:rPr>
      </w:pPr>
      <w:r>
        <w:rPr>
          <w:rFonts w:hint="eastAsia"/>
          <w:color w:val="auto"/>
          <w:highlight w:val="none"/>
        </w:rPr>
        <w:t>柳南区以螺蛳粉小镇建设为载体，打造国家农村产业融合发展示范园，推进柳州螺蛳粉生产集聚区和原材料基地建设，加快柳州螺蛳粉标准化和品牌化建设，推动柳州螺蛳粉技术创新和米粉产品升级换代，做大做强以柳州螺蛳粉为主的食品加工业。同时，柳南区依托螺蛳粉小镇建设，培育“互联网+”“旅游+”“生态+”现代农业新业态，大力推进螺蛳粉小镇主题乐园建设，打造柳州螺蛳粉产业集群样板，持续完善4A景区配套设施，扩大景区旅游影响，促进农村产业高度融合发展。</w:t>
      </w:r>
    </w:p>
    <w:p>
      <w:pPr>
        <w:pStyle w:val="4"/>
        <w:ind w:firstLine="643"/>
        <w:rPr>
          <w:color w:val="auto"/>
          <w:highlight w:val="none"/>
        </w:rPr>
      </w:pPr>
      <w:r>
        <w:rPr>
          <w:rFonts w:hint="eastAsia"/>
          <w:color w:val="auto"/>
          <w:highlight w:val="none"/>
        </w:rPr>
        <w:t>十、柳州螺蛳粉地理标志产品保护行动</w:t>
      </w:r>
    </w:p>
    <w:p>
      <w:pPr>
        <w:ind w:firstLine="640"/>
        <w:rPr>
          <w:color w:val="auto"/>
          <w:highlight w:val="none"/>
        </w:rPr>
      </w:pPr>
      <w:r>
        <w:rPr>
          <w:rFonts w:hint="eastAsia"/>
          <w:color w:val="auto"/>
          <w:highlight w:val="none"/>
        </w:rPr>
        <w:t>全区持续推进柳州螺蛳粉品牌化、标准化建设，丰富和完善柳州螺蛳粉区域公用品牌的标准体系，强化柳州螺蛳粉地理标志商标指导运用，积极探索运用互联网追溯防伪系统强化“柳州螺蛳粉”地理标志保护，确保柳州螺蛳粉“柳州造”。市场监管局积极推进柳州螺蛳粉区域公用品牌高水平服务、高效益运用和高标准保护，激发螺蛳粉企业商标品牌创造活力。柳南区提出柳州螺蛳粉地理标志“跳出柳州强保护，立足全国大保护”的工作思路，指导柳州市螺蛳粉协会与第三方代理机构合作，在全国范围内开展保护柳州螺蛳粉区域公用品牌侵权打假行动。</w:t>
      </w:r>
    </w:p>
    <w:p>
      <w:pPr>
        <w:pStyle w:val="4"/>
        <w:ind w:firstLine="643"/>
        <w:rPr>
          <w:color w:val="auto"/>
          <w:highlight w:val="none"/>
        </w:rPr>
      </w:pPr>
      <w:r>
        <w:rPr>
          <w:rFonts w:hint="eastAsia"/>
          <w:color w:val="auto"/>
          <w:highlight w:val="none"/>
        </w:rPr>
        <w:t>十一、</w:t>
      </w:r>
      <w:r>
        <w:rPr>
          <w:color w:val="auto"/>
          <w:highlight w:val="none"/>
        </w:rPr>
        <w:t>进一步强品牌拓市场</w:t>
      </w:r>
    </w:p>
    <w:p>
      <w:pPr>
        <w:ind w:firstLine="640"/>
        <w:rPr>
          <w:color w:val="auto"/>
          <w:highlight w:val="none"/>
        </w:rPr>
      </w:pPr>
      <w:r>
        <w:rPr>
          <w:rFonts w:hint="eastAsia"/>
          <w:color w:val="auto"/>
          <w:highlight w:val="none"/>
        </w:rPr>
        <w:t>柳州市将加快推进柳州螺蛳粉品牌建设，加强线上线下推广销售力度，大力推动柳州螺蛳粉进展会、进商超、进平台、进枢纽、进景区。同时，拓展柳州螺蛳粉国际市场，优化柳州螺蛳粉产品出口服务，推动柳州螺蛳粉出口专用税则号申请工作，开展“柳州螺蛳粉”国际商标注册，</w:t>
      </w:r>
      <w:r>
        <w:rPr>
          <w:color w:val="auto"/>
          <w:highlight w:val="none"/>
        </w:rPr>
        <w:t>积极推进企业加大品牌的</w:t>
      </w:r>
      <w:r>
        <w:rPr>
          <w:rFonts w:hint="eastAsia"/>
          <w:color w:val="auto"/>
          <w:highlight w:val="none"/>
        </w:rPr>
        <w:t>培育</w:t>
      </w:r>
      <w:r>
        <w:rPr>
          <w:color w:val="auto"/>
          <w:highlight w:val="none"/>
        </w:rPr>
        <w:t>和保护力度。</w:t>
      </w:r>
    </w:p>
    <w:p>
      <w:pPr>
        <w:ind w:firstLine="640"/>
        <w:rPr>
          <w:color w:val="auto"/>
          <w:highlight w:val="none"/>
        </w:rPr>
      </w:pPr>
    </w:p>
    <w:p>
      <w:pPr>
        <w:widowControl/>
        <w:spacing w:line="240" w:lineRule="auto"/>
        <w:ind w:firstLine="0" w:firstLineChars="0"/>
        <w:jc w:val="left"/>
        <w:rPr>
          <w:color w:val="auto"/>
          <w:highlight w:val="none"/>
        </w:rPr>
      </w:pPr>
      <w:r>
        <w:rPr>
          <w:color w:val="auto"/>
          <w:highlight w:val="none"/>
        </w:rPr>
        <w:br w:type="page"/>
      </w:r>
    </w:p>
    <w:p>
      <w:pPr>
        <w:ind w:firstLine="0" w:firstLineChars="0"/>
        <w:rPr>
          <w:color w:val="auto"/>
          <w:highlight w:val="none"/>
        </w:rPr>
      </w:pPr>
    </w:p>
    <w:p>
      <w:pPr>
        <w:pStyle w:val="2"/>
        <w:rPr>
          <w:color w:val="auto"/>
          <w:highlight w:val="none"/>
        </w:rPr>
      </w:pPr>
      <w:bookmarkStart w:id="45" w:name="_Toc150595439"/>
      <w:r>
        <w:rPr>
          <w:rFonts w:hint="eastAsia"/>
          <w:color w:val="auto"/>
          <w:highlight w:val="none"/>
        </w:rPr>
        <w:t>第四章  稳定发展家禽产业</w:t>
      </w:r>
      <w:bookmarkEnd w:id="45"/>
    </w:p>
    <w:p>
      <w:pPr>
        <w:ind w:firstLine="640"/>
        <w:rPr>
          <w:color w:val="auto"/>
          <w:highlight w:val="none"/>
        </w:rPr>
      </w:pPr>
    </w:p>
    <w:p>
      <w:pPr>
        <w:pStyle w:val="3"/>
        <w:rPr>
          <w:rFonts w:ascii="Times New Roman" w:hAnsi="Times New Roman"/>
          <w:color w:val="auto"/>
          <w:highlight w:val="none"/>
        </w:rPr>
      </w:pPr>
      <w:bookmarkStart w:id="46" w:name="_Toc150595440"/>
      <w:bookmarkStart w:id="47" w:name="_Toc137565666"/>
      <w:r>
        <w:rPr>
          <w:rFonts w:hint="eastAsia" w:ascii="Times New Roman" w:hAnsi="Times New Roman"/>
          <w:color w:val="auto"/>
          <w:highlight w:val="none"/>
        </w:rPr>
        <w:t xml:space="preserve">第一节 </w:t>
      </w:r>
      <w:r>
        <w:rPr>
          <w:rFonts w:ascii="Times New Roman" w:hAnsi="Times New Roman"/>
          <w:color w:val="auto"/>
          <w:highlight w:val="none"/>
        </w:rPr>
        <w:t xml:space="preserve"> </w:t>
      </w:r>
      <w:r>
        <w:rPr>
          <w:rFonts w:hint="eastAsia" w:ascii="Times New Roman" w:hAnsi="Times New Roman"/>
          <w:color w:val="auto"/>
          <w:highlight w:val="none"/>
        </w:rPr>
        <w:t>基础条件</w:t>
      </w:r>
      <w:bookmarkEnd w:id="46"/>
      <w:bookmarkEnd w:id="47"/>
    </w:p>
    <w:p>
      <w:pPr>
        <w:pStyle w:val="4"/>
        <w:ind w:firstLine="643"/>
        <w:rPr>
          <w:color w:val="auto"/>
          <w:highlight w:val="none"/>
        </w:rPr>
      </w:pPr>
      <w:r>
        <w:rPr>
          <w:rFonts w:hint="eastAsia"/>
          <w:color w:val="auto"/>
          <w:highlight w:val="none"/>
        </w:rPr>
        <w:t>一、家禽产业带动能力强</w:t>
      </w:r>
    </w:p>
    <w:p>
      <w:pPr>
        <w:ind w:firstLine="640"/>
        <w:rPr>
          <w:color w:val="auto"/>
          <w:highlight w:val="none"/>
        </w:rPr>
      </w:pPr>
      <w:r>
        <w:rPr>
          <w:rFonts w:hint="eastAsia"/>
          <w:color w:val="auto"/>
          <w:highlight w:val="none"/>
        </w:rPr>
        <w:t>柳南区积极探索家禽养殖产业增收致富之路，将产业建设同村集体经济发展建设融合发展，据数据统计显示，柳南区2</w:t>
      </w:r>
      <w:r>
        <w:rPr>
          <w:color w:val="auto"/>
          <w:highlight w:val="none"/>
        </w:rPr>
        <w:t>022</w:t>
      </w:r>
      <w:r>
        <w:rPr>
          <w:rFonts w:hint="eastAsia"/>
          <w:color w:val="auto"/>
          <w:highlight w:val="none"/>
        </w:rPr>
        <w:t>年家禽出栏252万羽，同比增加8.15%；2</w:t>
      </w:r>
      <w:r>
        <w:rPr>
          <w:color w:val="auto"/>
          <w:highlight w:val="none"/>
        </w:rPr>
        <w:t>022</w:t>
      </w:r>
      <w:r>
        <w:rPr>
          <w:rFonts w:hint="eastAsia"/>
          <w:color w:val="auto"/>
          <w:highlight w:val="none"/>
        </w:rPr>
        <w:t>年新建流山镇艾村家禽养殖基地村集体项目，投资2</w:t>
      </w:r>
      <w:r>
        <w:rPr>
          <w:color w:val="auto"/>
          <w:highlight w:val="none"/>
        </w:rPr>
        <w:t>60</w:t>
      </w:r>
      <w:r>
        <w:rPr>
          <w:rFonts w:hint="eastAsia"/>
          <w:color w:val="auto"/>
          <w:highlight w:val="none"/>
        </w:rPr>
        <w:t>万元落实种鸭养殖建设情况，预计2</w:t>
      </w:r>
      <w:r>
        <w:rPr>
          <w:color w:val="auto"/>
          <w:highlight w:val="none"/>
        </w:rPr>
        <w:t>023</w:t>
      </w:r>
      <w:r>
        <w:rPr>
          <w:rFonts w:hint="eastAsia"/>
          <w:color w:val="auto"/>
          <w:highlight w:val="none"/>
        </w:rPr>
        <w:t>年新艾村集体经济收入突破2</w:t>
      </w:r>
      <w:r>
        <w:rPr>
          <w:color w:val="auto"/>
          <w:highlight w:val="none"/>
        </w:rPr>
        <w:t>0</w:t>
      </w:r>
      <w:r>
        <w:rPr>
          <w:rFonts w:hint="eastAsia"/>
          <w:color w:val="auto"/>
          <w:highlight w:val="none"/>
        </w:rPr>
        <w:t>万元。截至2022年年底，全区新建蛋鸡养殖基地1个，肉鸭养殖基地2个，家禽农业产业化龙头企业通过提供种苗、技术等支持，建立“公司+基地+村集体+农户”模式，不断拉长产业链，蛋鸡养殖带动2</w:t>
      </w:r>
      <w:r>
        <w:rPr>
          <w:color w:val="auto"/>
          <w:highlight w:val="none"/>
        </w:rPr>
        <w:t>00</w:t>
      </w:r>
      <w:r>
        <w:rPr>
          <w:rFonts w:hint="eastAsia"/>
          <w:color w:val="auto"/>
          <w:highlight w:val="none"/>
        </w:rPr>
        <w:t>多户农户养殖致富，肉鸭养殖带动合作农户4</w:t>
      </w:r>
      <w:r>
        <w:rPr>
          <w:color w:val="auto"/>
          <w:highlight w:val="none"/>
        </w:rPr>
        <w:t>000</w:t>
      </w:r>
      <w:r>
        <w:rPr>
          <w:rFonts w:hint="eastAsia"/>
          <w:color w:val="auto"/>
          <w:highlight w:val="none"/>
        </w:rPr>
        <w:t>户以上。</w:t>
      </w:r>
    </w:p>
    <w:p>
      <w:pPr>
        <w:pStyle w:val="4"/>
        <w:ind w:firstLine="643"/>
        <w:rPr>
          <w:color w:val="auto"/>
          <w:highlight w:val="none"/>
        </w:rPr>
      </w:pPr>
      <w:r>
        <w:rPr>
          <w:rFonts w:hint="eastAsia"/>
          <w:color w:val="auto"/>
          <w:highlight w:val="none"/>
        </w:rPr>
        <w:t>二、家禽养殖政策支持有力</w:t>
      </w:r>
    </w:p>
    <w:p>
      <w:pPr>
        <w:ind w:firstLine="640"/>
        <w:rPr>
          <w:color w:val="auto"/>
          <w:highlight w:val="none"/>
        </w:rPr>
      </w:pPr>
      <w:r>
        <w:rPr>
          <w:rFonts w:hint="eastAsia"/>
          <w:color w:val="auto"/>
          <w:highlight w:val="none"/>
        </w:rPr>
        <w:t>根据自治区《广西壮族自治区畜禽屠宰行业发展“十四五”规划》，为加快农业发展、率先实现农业现代化、促进农业园区运用先进技术提供了新的重大机遇。柳南区高度重视农村发展工作，结合柳州政策情况加快全区家禽产业建设，围绕肉鸭蛋鸡等家禽养殖出台了相关扶持政策，及时解决养殖户遇到的问题，提供了良好的政策发展环境。</w:t>
      </w:r>
    </w:p>
    <w:p>
      <w:pPr>
        <w:pStyle w:val="4"/>
        <w:ind w:firstLine="643"/>
        <w:rPr>
          <w:color w:val="auto"/>
          <w:highlight w:val="none"/>
        </w:rPr>
      </w:pPr>
      <w:r>
        <w:rPr>
          <w:rFonts w:hint="eastAsia"/>
          <w:color w:val="auto"/>
          <w:highlight w:val="none"/>
        </w:rPr>
        <w:t>三、肉鸭产业发展环境优越</w:t>
      </w:r>
    </w:p>
    <w:p>
      <w:pPr>
        <w:ind w:firstLine="640"/>
        <w:rPr>
          <w:color w:val="auto"/>
          <w:highlight w:val="none"/>
        </w:rPr>
      </w:pPr>
      <w:r>
        <w:rPr>
          <w:rFonts w:hint="eastAsia"/>
          <w:color w:val="auto"/>
          <w:highlight w:val="none"/>
        </w:rPr>
        <w:t>柳南区建成了以实隆鸭苗孵化为主的鸭苗孵化基地，2</w:t>
      </w:r>
      <w:r>
        <w:rPr>
          <w:color w:val="auto"/>
          <w:highlight w:val="none"/>
        </w:rPr>
        <w:t>021</w:t>
      </w:r>
      <w:r>
        <w:rPr>
          <w:rFonts w:hint="eastAsia"/>
          <w:color w:val="auto"/>
          <w:highlight w:val="none"/>
        </w:rPr>
        <w:t>年肉鸭年出栏产能超7</w:t>
      </w:r>
      <w:r>
        <w:rPr>
          <w:color w:val="auto"/>
          <w:highlight w:val="none"/>
        </w:rPr>
        <w:t>000</w:t>
      </w:r>
      <w:r>
        <w:rPr>
          <w:rFonts w:hint="eastAsia"/>
          <w:color w:val="auto"/>
          <w:highlight w:val="none"/>
        </w:rPr>
        <w:t>万羽，年孵化鸭苗1.6亿羽；实隆鸭苗遍布西南片区，掌握了两广地区肉鸭和鸭苗的市场定价权。主要经营主体广西实隆农牧集团有限公司已从事家禽养殖23年，以种鸭养殖、鸭苗孵化、肉鸭养殖与销售、家禽屠宰、饲料生产为主营业务，是一家集生产、研发、营销为一体的现代化农业企业。同时也是自治区农业产业化重点龙头企业、2020年广西民营企业百强企业等，其养殖基地获“国家水禽体系示范试验站”挂牌，综合实力强，联农带农作用突出。柳南主推品种樱桃谷鸭，拥有建设多年的品牌优势，具备良好的市场竞争力。</w:t>
      </w:r>
    </w:p>
    <w:p>
      <w:pPr>
        <w:pStyle w:val="4"/>
        <w:ind w:firstLine="643"/>
        <w:rPr>
          <w:color w:val="auto"/>
          <w:highlight w:val="none"/>
        </w:rPr>
      </w:pPr>
      <w:r>
        <w:rPr>
          <w:rFonts w:hint="eastAsia"/>
          <w:color w:val="auto"/>
          <w:highlight w:val="none"/>
        </w:rPr>
        <w:t>四、蛋鸡产业发展基础深厚</w:t>
      </w:r>
    </w:p>
    <w:p>
      <w:pPr>
        <w:ind w:firstLine="643"/>
        <w:outlineLvl w:val="3"/>
        <w:rPr>
          <w:b/>
          <w:bCs/>
          <w:color w:val="auto"/>
          <w:highlight w:val="none"/>
        </w:rPr>
      </w:pPr>
      <w:r>
        <w:rPr>
          <w:rFonts w:hint="eastAsia"/>
          <w:b/>
          <w:bCs/>
          <w:color w:val="auto"/>
          <w:highlight w:val="none"/>
        </w:rPr>
        <w:t>（一）本土龙头企业带动能力强</w:t>
      </w:r>
    </w:p>
    <w:p>
      <w:pPr>
        <w:ind w:firstLine="640"/>
        <w:rPr>
          <w:color w:val="auto"/>
          <w:highlight w:val="none"/>
        </w:rPr>
      </w:pPr>
      <w:r>
        <w:rPr>
          <w:rFonts w:hint="eastAsia"/>
          <w:color w:val="auto"/>
          <w:highlight w:val="none"/>
        </w:rPr>
        <w:t>柳南区有以蛋鸡养殖、农业种植、饲料生产、有机肥加工和销售为主的全产业链老字号实体本土龙头企业宏华生物实业股份有限公司，企业在广西有4个大型蛋鸡养殖基地，全年生产鸡蛋900万公斤以上，年产值达1.2亿元，投入产出比达1:5，帮助农户年增收350万元。</w:t>
      </w:r>
    </w:p>
    <w:p>
      <w:pPr>
        <w:ind w:firstLine="643"/>
        <w:outlineLvl w:val="3"/>
        <w:rPr>
          <w:b/>
          <w:bCs/>
          <w:color w:val="auto"/>
          <w:highlight w:val="none"/>
        </w:rPr>
      </w:pPr>
      <w:r>
        <w:rPr>
          <w:rFonts w:hint="eastAsia"/>
          <w:b/>
          <w:bCs/>
          <w:color w:val="auto"/>
          <w:highlight w:val="none"/>
        </w:rPr>
        <w:t>（二）良好的蛋鸡产业基础</w:t>
      </w:r>
    </w:p>
    <w:p>
      <w:pPr>
        <w:ind w:firstLine="616"/>
        <w:rPr>
          <w:color w:val="auto"/>
          <w:spacing w:val="-6"/>
          <w:highlight w:val="none"/>
        </w:rPr>
      </w:pPr>
      <w:r>
        <w:rPr>
          <w:rFonts w:hint="eastAsia"/>
          <w:color w:val="auto"/>
          <w:spacing w:val="-6"/>
          <w:highlight w:val="none"/>
        </w:rPr>
        <w:t>柳南区蛋鸡产业示范区拥有半自动化蛋鸡栏舍约60栋，全自动化现代蛋鸡栏舍3栋，满栏可达100万羽，高峰期日均产蛋量超百万枚，具备良好的发展基础。柳南区对蛋鸡养殖家庭农场、农户等进行统一培训、统一规范，促进蛋鸡养殖产业快速发展，推动蛋鸡产业进行机械智能化升级，建成全自动化现代蛋鸡养殖体系，形成“人管机器、机器管鸡”，促使农村产业与乡村振兴同步共进、协调发展。</w:t>
      </w:r>
    </w:p>
    <w:p>
      <w:pPr>
        <w:pStyle w:val="3"/>
        <w:rPr>
          <w:rFonts w:ascii="Times New Roman" w:hAnsi="Times New Roman"/>
          <w:color w:val="auto"/>
          <w:highlight w:val="none"/>
        </w:rPr>
      </w:pPr>
      <w:bookmarkStart w:id="48" w:name="_Toc137565667"/>
      <w:bookmarkStart w:id="49" w:name="_Toc150595441"/>
      <w:r>
        <w:rPr>
          <w:rFonts w:hint="eastAsia" w:ascii="Times New Roman" w:hAnsi="Times New Roman"/>
          <w:color w:val="auto"/>
          <w:highlight w:val="none"/>
        </w:rPr>
        <w:t>第二节  发展思路</w:t>
      </w:r>
      <w:bookmarkEnd w:id="48"/>
      <w:bookmarkEnd w:id="49"/>
    </w:p>
    <w:p>
      <w:pPr>
        <w:ind w:firstLine="640"/>
        <w:rPr>
          <w:color w:val="auto"/>
          <w:highlight w:val="none"/>
        </w:rPr>
      </w:pPr>
      <w:r>
        <w:rPr>
          <w:rFonts w:hint="eastAsia"/>
          <w:color w:val="auto"/>
          <w:highlight w:val="none"/>
        </w:rPr>
        <w:t>结合地域条件，依托于柳南区蛋鸡和肉鸭等家禽龙头企业创造的发展优势，进一步提高农户养殖积极性，巩固拓展脱贫攻坚成果同乡村振兴有效衔接，基于规模化家禽养殖的基础，结合柳南区乡村振兴战略任务，促进新型农村、新型农民建设，以绿色发展为根本理念，贯彻执行可持续发展，确保经济效益、环境效益、社会效益齐驱并进，促进产业健康发展。创新科技研发，加大政府扶持力度，通过创新管理机制，加强全区家禽科技支撑能力，提升产品品质、优化产品产能，加强种苗孵化、肉鸭养殖、蛋鸡养殖、屠宰加工、三产融合等建设，打造产业高效发展的现代家禽养殖基地。</w:t>
      </w:r>
    </w:p>
    <w:p>
      <w:pPr>
        <w:ind w:firstLine="640"/>
        <w:rPr>
          <w:color w:val="auto"/>
          <w:highlight w:val="none"/>
        </w:rPr>
      </w:pPr>
    </w:p>
    <w:p>
      <w:pPr>
        <w:pStyle w:val="3"/>
        <w:rPr>
          <w:rFonts w:ascii="Times New Roman" w:hAnsi="Times New Roman"/>
          <w:color w:val="auto"/>
          <w:highlight w:val="none"/>
        </w:rPr>
      </w:pPr>
      <w:bookmarkStart w:id="50" w:name="_Toc137565668"/>
      <w:bookmarkStart w:id="51" w:name="_Toc150595442"/>
      <w:r>
        <w:rPr>
          <w:rFonts w:hint="eastAsia" w:ascii="Times New Roman" w:hAnsi="Times New Roman"/>
          <w:color w:val="auto"/>
          <w:highlight w:val="none"/>
        </w:rPr>
        <w:t>第三节  预期目标</w:t>
      </w:r>
      <w:bookmarkEnd w:id="50"/>
      <w:bookmarkEnd w:id="51"/>
    </w:p>
    <w:p>
      <w:pPr>
        <w:ind w:firstLine="640"/>
        <w:rPr>
          <w:color w:val="auto"/>
          <w:highlight w:val="none"/>
        </w:rPr>
      </w:pPr>
      <w:r>
        <w:rPr>
          <w:rFonts w:hint="eastAsia"/>
          <w:color w:val="auto"/>
          <w:highlight w:val="none"/>
        </w:rPr>
        <w:t>着力打造肉鸭全产业链，建成华南鸭产业标杆，力争到2025年肉鸭养殖年产值突破</w:t>
      </w:r>
      <w:r>
        <w:rPr>
          <w:color w:val="auto"/>
          <w:highlight w:val="none"/>
        </w:rPr>
        <w:t>5</w:t>
      </w:r>
      <w:r>
        <w:rPr>
          <w:rFonts w:hint="eastAsia"/>
          <w:color w:val="auto"/>
          <w:highlight w:val="none"/>
        </w:rPr>
        <w:t>亿元，种鸭养殖量20万羽以上，鸭苗孵化1.2亿羽以上；蛋鸡养殖突破140万羽，日产鸡蛋突破150万枚，年产鸡蛋突破</w:t>
      </w:r>
      <w:r>
        <w:rPr>
          <w:color w:val="auto"/>
          <w:highlight w:val="none"/>
        </w:rPr>
        <w:t>1.6</w:t>
      </w:r>
      <w:r>
        <w:rPr>
          <w:rFonts w:hint="eastAsia"/>
          <w:color w:val="auto"/>
          <w:highlight w:val="none"/>
        </w:rPr>
        <w:t>万吨，年产种蛋2</w:t>
      </w:r>
      <w:r>
        <w:rPr>
          <w:color w:val="auto"/>
          <w:highlight w:val="none"/>
        </w:rPr>
        <w:t>00</w:t>
      </w:r>
      <w:r>
        <w:rPr>
          <w:rFonts w:hint="eastAsia"/>
          <w:color w:val="auto"/>
          <w:highlight w:val="none"/>
        </w:rPr>
        <w:t>万枚；全区畜禽养殖规模化率提高到80%；畜牧业养殖设施化水平进一步提升，</w:t>
      </w:r>
      <w:bookmarkStart w:id="52" w:name="_Hlk137480388"/>
      <w:r>
        <w:rPr>
          <w:rFonts w:hint="eastAsia"/>
          <w:color w:val="auto"/>
          <w:highlight w:val="none"/>
        </w:rPr>
        <w:t>家禽规模养殖场粪污资源化利用设施配套率达98%以上</w:t>
      </w:r>
      <w:bookmarkEnd w:id="52"/>
      <w:r>
        <w:rPr>
          <w:rFonts w:hint="eastAsia"/>
          <w:color w:val="auto"/>
          <w:highlight w:val="none"/>
        </w:rPr>
        <w:t>，</w:t>
      </w:r>
      <w:bookmarkStart w:id="53" w:name="_Hlk137480478"/>
      <w:r>
        <w:rPr>
          <w:rFonts w:hint="eastAsia"/>
          <w:color w:val="auto"/>
          <w:highlight w:val="none"/>
        </w:rPr>
        <w:t>家禽全产业链产值达10亿元</w:t>
      </w:r>
      <w:bookmarkEnd w:id="53"/>
      <w:r>
        <w:rPr>
          <w:rFonts w:hint="eastAsia"/>
          <w:color w:val="auto"/>
          <w:highlight w:val="none"/>
        </w:rPr>
        <w:t>，新建1个家禽现代特色农业示范区，孵化1—2个地域公共品牌；稻田养鸭、林下养鸡达到</w:t>
      </w:r>
      <w:r>
        <w:rPr>
          <w:color w:val="auto"/>
          <w:highlight w:val="none"/>
        </w:rPr>
        <w:t>1000</w:t>
      </w:r>
      <w:r>
        <w:rPr>
          <w:rFonts w:hint="eastAsia"/>
          <w:color w:val="auto"/>
          <w:highlight w:val="none"/>
        </w:rPr>
        <w:t>亩；搭建产学研平台3个以上；可完成2亿羽以上的家禽屠宰加工，加工综合产值达15亿元以上。</w:t>
      </w:r>
    </w:p>
    <w:p>
      <w:pPr>
        <w:ind w:firstLine="640"/>
        <w:rPr>
          <w:color w:val="auto"/>
          <w:highlight w:val="none"/>
        </w:rPr>
      </w:pPr>
    </w:p>
    <w:p>
      <w:pPr>
        <w:pStyle w:val="3"/>
        <w:rPr>
          <w:rFonts w:ascii="Times New Roman" w:hAnsi="Times New Roman"/>
          <w:color w:val="auto"/>
          <w:highlight w:val="none"/>
        </w:rPr>
      </w:pPr>
      <w:bookmarkStart w:id="54" w:name="_Toc137565669"/>
      <w:bookmarkStart w:id="55" w:name="_Toc150595443"/>
      <w:r>
        <w:rPr>
          <w:rFonts w:hint="eastAsia" w:ascii="Times New Roman" w:hAnsi="Times New Roman"/>
          <w:color w:val="auto"/>
          <w:highlight w:val="none"/>
        </w:rPr>
        <w:t>第四节  重点任务</w:t>
      </w:r>
      <w:bookmarkEnd w:id="54"/>
      <w:bookmarkEnd w:id="55"/>
    </w:p>
    <w:p>
      <w:pPr>
        <w:pStyle w:val="4"/>
        <w:ind w:firstLine="643"/>
        <w:rPr>
          <w:color w:val="auto"/>
          <w:highlight w:val="none"/>
        </w:rPr>
      </w:pPr>
      <w:r>
        <w:rPr>
          <w:rFonts w:hint="eastAsia"/>
          <w:color w:val="auto"/>
          <w:highlight w:val="none"/>
        </w:rPr>
        <w:t>一、打造家禽标准化现代养殖</w:t>
      </w:r>
    </w:p>
    <w:p>
      <w:pPr>
        <w:ind w:firstLine="640"/>
        <w:rPr>
          <w:color w:val="auto"/>
          <w:highlight w:val="none"/>
        </w:rPr>
      </w:pPr>
      <w:r>
        <w:rPr>
          <w:rFonts w:hint="eastAsia"/>
          <w:color w:val="auto"/>
          <w:highlight w:val="none"/>
        </w:rPr>
        <w:t>优化柳南区养殖标准化现代化建设，立足于全区养殖基础，加快培育一批标准现代化养殖基地；进一步扩大肉鸭蛋鸡等家禽标准化养殖基地、完善科技装备水平、构建现代养殖农业体系、搭建饲料自动运输设备、引进智能设施设备、加强养殖场机械现代化支撑，打造高水平、高标准、高质量、高效率的“四高”全自动化养殖基地；到2</w:t>
      </w:r>
      <w:r>
        <w:rPr>
          <w:color w:val="auto"/>
          <w:highlight w:val="none"/>
        </w:rPr>
        <w:t>025</w:t>
      </w:r>
      <w:r>
        <w:rPr>
          <w:rFonts w:hint="eastAsia"/>
          <w:color w:val="auto"/>
          <w:highlight w:val="none"/>
        </w:rPr>
        <w:t>年，肉鸭养殖年产值突破5亿元，蛋鸡养殖突破140万羽，日产鸡蛋突破150万枚，年产鸡蛋突破</w:t>
      </w:r>
      <w:r>
        <w:rPr>
          <w:color w:val="auto"/>
          <w:highlight w:val="none"/>
        </w:rPr>
        <w:t>1.6</w:t>
      </w:r>
      <w:r>
        <w:rPr>
          <w:rFonts w:hint="eastAsia"/>
          <w:color w:val="auto"/>
          <w:highlight w:val="none"/>
        </w:rPr>
        <w:t>万吨；全区畜禽养殖规模化率提高到80%，家禽全产业链产值达10亿元，新建1个柳南区家禽现代特色农业示范区。</w:t>
      </w:r>
    </w:p>
    <w:p>
      <w:pPr>
        <w:pStyle w:val="4"/>
        <w:ind w:firstLine="643"/>
        <w:rPr>
          <w:color w:val="auto"/>
          <w:highlight w:val="none"/>
        </w:rPr>
      </w:pPr>
      <w:r>
        <w:rPr>
          <w:rFonts w:hint="eastAsia"/>
          <w:color w:val="auto"/>
          <w:highlight w:val="none"/>
        </w:rPr>
        <w:t>二、完善家禽生态种养体系</w:t>
      </w:r>
    </w:p>
    <w:p>
      <w:pPr>
        <w:ind w:firstLine="640"/>
        <w:rPr>
          <w:color w:val="auto"/>
          <w:highlight w:val="none"/>
        </w:rPr>
      </w:pPr>
      <w:r>
        <w:rPr>
          <w:rFonts w:hint="eastAsia"/>
          <w:color w:val="auto"/>
          <w:highlight w:val="none"/>
        </w:rPr>
        <w:t>柳南区以资源高效化利用理念，强化全区种养结合发展，高起点、高谋划、高标准推进种养一体化融合，发挥生态和资源优势，完善家禽生态种养体系；推广林下养鸡等生态养殖模式，建设标准化生态养殖示范点，深挖禽畜清洁养殖工艺和实用技术，构建粪污资源化利用产业循环机制，打造“种植—养殖—种植”产业化生态循环可持续发展格局；到2</w:t>
      </w:r>
      <w:r>
        <w:rPr>
          <w:color w:val="auto"/>
          <w:highlight w:val="none"/>
        </w:rPr>
        <w:t>025</w:t>
      </w:r>
      <w:r>
        <w:rPr>
          <w:rFonts w:hint="eastAsia"/>
          <w:color w:val="auto"/>
          <w:highlight w:val="none"/>
        </w:rPr>
        <w:t>年，林下养鸡达到</w:t>
      </w:r>
      <w:r>
        <w:rPr>
          <w:color w:val="auto"/>
          <w:highlight w:val="none"/>
        </w:rPr>
        <w:t>1000</w:t>
      </w:r>
      <w:r>
        <w:rPr>
          <w:rFonts w:hint="eastAsia"/>
          <w:color w:val="auto"/>
          <w:highlight w:val="none"/>
        </w:rPr>
        <w:t>亩，家禽规模养殖场粪污资源化利用设施配套率达98%以上。</w:t>
      </w:r>
    </w:p>
    <w:p>
      <w:pPr>
        <w:pStyle w:val="4"/>
        <w:ind w:firstLine="643"/>
        <w:rPr>
          <w:color w:val="auto"/>
          <w:highlight w:val="none"/>
        </w:rPr>
      </w:pPr>
      <w:r>
        <w:rPr>
          <w:rFonts w:hint="eastAsia"/>
          <w:color w:val="auto"/>
          <w:highlight w:val="none"/>
        </w:rPr>
        <w:t>三、深化家禽种苗改革</w:t>
      </w:r>
    </w:p>
    <w:p>
      <w:pPr>
        <w:ind w:firstLine="640"/>
        <w:rPr>
          <w:color w:val="auto"/>
          <w:highlight w:val="none"/>
        </w:rPr>
      </w:pPr>
      <w:r>
        <w:rPr>
          <w:rFonts w:hint="eastAsia"/>
          <w:color w:val="auto"/>
          <w:highlight w:val="none"/>
        </w:rPr>
        <w:t>深化家禽种业结构改革，搭建稳产优产发展框架；加快培育本土种禽企业，落实产业源头建设，提升柳南区本土优良种禽覆盖率，促进家禽产业高质量发展，实施家禽种业振兴。整合地方政府、农业龙头企业、基层农机推广单位等多方资源，加强与柳州家禽养殖协会、专业合作社、畜禽类科研机构的合作建设，搭建养殖场智能控制平台，建立现代养殖智慧管理系统，推进肉鸭种鸭品种培育，种鸭养殖达到1</w:t>
      </w:r>
      <w:r>
        <w:rPr>
          <w:color w:val="auto"/>
          <w:highlight w:val="none"/>
        </w:rPr>
        <w:t>0</w:t>
      </w:r>
      <w:r>
        <w:rPr>
          <w:rFonts w:hint="eastAsia"/>
          <w:color w:val="auto"/>
          <w:highlight w:val="none"/>
        </w:rPr>
        <w:t>万羽以上，鸭苗孵化1</w:t>
      </w:r>
      <w:r>
        <w:rPr>
          <w:color w:val="auto"/>
          <w:highlight w:val="none"/>
        </w:rPr>
        <w:t>.2</w:t>
      </w:r>
      <w:r>
        <w:rPr>
          <w:rFonts w:hint="eastAsia"/>
          <w:color w:val="auto"/>
          <w:highlight w:val="none"/>
        </w:rPr>
        <w:t>亿羽以上，开展新品种繁育工作；加强技术支撑，强化蛋鸡品种建设，引进优质种鸡资源，促进蛋鸡发展，到2</w:t>
      </w:r>
      <w:r>
        <w:rPr>
          <w:color w:val="auto"/>
          <w:highlight w:val="none"/>
        </w:rPr>
        <w:t>025</w:t>
      </w:r>
      <w:r>
        <w:rPr>
          <w:rFonts w:hint="eastAsia"/>
          <w:color w:val="auto"/>
          <w:highlight w:val="none"/>
        </w:rPr>
        <w:t>年，全区年蛋鸡养殖量达到100万羽。</w:t>
      </w:r>
    </w:p>
    <w:p>
      <w:pPr>
        <w:pStyle w:val="4"/>
        <w:ind w:firstLine="643"/>
        <w:rPr>
          <w:color w:val="auto"/>
          <w:highlight w:val="none"/>
        </w:rPr>
      </w:pPr>
      <w:r>
        <w:rPr>
          <w:rFonts w:hint="eastAsia"/>
          <w:color w:val="auto"/>
          <w:highlight w:val="none"/>
        </w:rPr>
        <w:t>四、“公司+农户+基地”推广</w:t>
      </w:r>
    </w:p>
    <w:p>
      <w:pPr>
        <w:ind w:firstLine="640"/>
        <w:rPr>
          <w:color w:val="auto"/>
          <w:highlight w:val="none"/>
        </w:rPr>
      </w:pPr>
      <w:r>
        <w:rPr>
          <w:rFonts w:hint="eastAsia"/>
          <w:color w:val="auto"/>
          <w:highlight w:val="none"/>
        </w:rPr>
        <w:t>综合提升柳南区家禽养殖本土企业带动能力，构建多形式、多业态、多方位合作模式，深入提升联农带农建设，促进产业融合发展。积极推广“公司+农户+基地”“养殖场+合作社+养殖大户”等模式，加大政府扶持力度，落实家禽养殖“以奖代补、先建后补”建设，鼓励新型经营主体辐射带动周边村镇养殖致富。强化农村产业融合建设，深化家禽产业化联合体龙头企业联农带农能力，通过“公司+农户”的方式，和村集体建立稳定长期的采购合作，带动村集体经济发展，带领农户增收致富。</w:t>
      </w:r>
    </w:p>
    <w:p>
      <w:pPr>
        <w:pStyle w:val="4"/>
        <w:ind w:firstLine="643"/>
        <w:rPr>
          <w:color w:val="auto"/>
          <w:highlight w:val="none"/>
        </w:rPr>
      </w:pPr>
      <w:r>
        <w:rPr>
          <w:rFonts w:hint="eastAsia"/>
          <w:color w:val="auto"/>
          <w:highlight w:val="none"/>
        </w:rPr>
        <w:t>五、提升完善家禽品牌营销</w:t>
      </w:r>
    </w:p>
    <w:p>
      <w:pPr>
        <w:ind w:firstLine="640"/>
        <w:rPr>
          <w:color w:val="auto"/>
          <w:highlight w:val="none"/>
        </w:rPr>
      </w:pPr>
      <w:r>
        <w:rPr>
          <w:rFonts w:hint="eastAsia"/>
          <w:color w:val="auto"/>
          <w:highlight w:val="none"/>
        </w:rPr>
        <w:t>柳南区深挖家禽产品品牌价值，强化品牌多元化营销建设体系，立足于农业发展现实基础，提升</w:t>
      </w:r>
      <w:r>
        <w:rPr>
          <w:rFonts w:hint="eastAsia"/>
          <w:color w:val="auto"/>
          <w:highlight w:val="none"/>
          <w:lang w:eastAsia="zh-CN"/>
        </w:rPr>
        <w:t>完善</w:t>
      </w:r>
      <w:r>
        <w:rPr>
          <w:rFonts w:hint="eastAsia"/>
          <w:color w:val="auto"/>
          <w:highlight w:val="none"/>
        </w:rPr>
        <w:t>家禽品牌营销，打造“柳南家禽、面向全国”。综合提高全区家禽特色产品品牌建设力度，重点打造“实隆鸭”“宏华鸡蛋”“虾青素鸡蛋”等家禽特色品牌，通过多渠道、多形式进行品牌推广宣传，完善线上品牌IP运营体系、开展品牌直播、建立线下销售门店、积极参展农博会、强化全产业链品牌价值建设，争取孵化1—2个家禽地域公共品牌。</w:t>
      </w:r>
    </w:p>
    <w:p>
      <w:pPr>
        <w:pStyle w:val="4"/>
        <w:ind w:firstLine="643"/>
        <w:rPr>
          <w:color w:val="auto"/>
          <w:highlight w:val="none"/>
        </w:rPr>
      </w:pPr>
      <w:r>
        <w:rPr>
          <w:rFonts w:hint="eastAsia"/>
          <w:color w:val="auto"/>
          <w:highlight w:val="none"/>
        </w:rPr>
        <w:t>六、加强家禽产业科技支撑能力</w:t>
      </w:r>
    </w:p>
    <w:p>
      <w:pPr>
        <w:ind w:firstLine="640"/>
        <w:rPr>
          <w:color w:val="auto"/>
          <w:highlight w:val="none"/>
        </w:rPr>
      </w:pPr>
      <w:r>
        <w:rPr>
          <w:rFonts w:hint="eastAsia"/>
          <w:color w:val="auto"/>
          <w:highlight w:val="none"/>
        </w:rPr>
        <w:t>深入推进科技下村，加强现代科学技术在家禽产业建设上的成果转化，结合乡村振兴战略和科技创新发展政策，加强家禽产业科技支撑能力。实施产业科技振兴，依托于现代特色农业示范区、产业园、农产品优势区等，通过搭建产学研合作平台、建设家禽产业科技研发中心、发展创新科技应用基地、引进养殖先进设施设备等，不断加强家禽产业的科技水平，开展创新经营模式，有效促进科研成果转化，到2</w:t>
      </w:r>
      <w:r>
        <w:rPr>
          <w:color w:val="auto"/>
          <w:highlight w:val="none"/>
        </w:rPr>
        <w:t>025</w:t>
      </w:r>
      <w:r>
        <w:rPr>
          <w:rFonts w:hint="eastAsia"/>
          <w:color w:val="auto"/>
          <w:highlight w:val="none"/>
        </w:rPr>
        <w:t>年，搭建产学研合作平台2个以上。</w:t>
      </w:r>
    </w:p>
    <w:p>
      <w:pPr>
        <w:pStyle w:val="4"/>
        <w:ind w:firstLine="643"/>
        <w:rPr>
          <w:color w:val="auto"/>
          <w:highlight w:val="none"/>
        </w:rPr>
      </w:pPr>
      <w:r>
        <w:rPr>
          <w:rFonts w:hint="eastAsia"/>
          <w:color w:val="auto"/>
          <w:highlight w:val="none"/>
        </w:rPr>
        <w:t>七、培育家禽现代加工物流体系</w:t>
      </w:r>
    </w:p>
    <w:p>
      <w:pPr>
        <w:ind w:firstLine="640"/>
        <w:rPr>
          <w:color w:val="auto"/>
          <w:highlight w:val="none"/>
        </w:rPr>
      </w:pPr>
      <w:r>
        <w:rPr>
          <w:rFonts w:hint="eastAsia"/>
          <w:color w:val="auto"/>
          <w:highlight w:val="none"/>
        </w:rPr>
        <w:t>柳南区不断深化家禽产业加工产业链条，结合全区特色农产品优势区、肉鸭养殖布局、蛋鸡养殖布局等建设基础，培育家禽现代加工物流体系。加强仓储保鲜设施建设，推进传统产地批发市场的冷链装备设施信息化升级改造，打造农产品产地加工物流园区；通过划分不同产业功能模块，重点完善加工配套建设和信息化改造，延伸产业链增加农产品附加值；到2</w:t>
      </w:r>
      <w:r>
        <w:rPr>
          <w:color w:val="auto"/>
          <w:highlight w:val="none"/>
        </w:rPr>
        <w:t>025</w:t>
      </w:r>
      <w:r>
        <w:rPr>
          <w:rFonts w:hint="eastAsia"/>
          <w:color w:val="auto"/>
          <w:highlight w:val="none"/>
        </w:rPr>
        <w:t>年，可完成2亿羽以上的家禽屠宰加工，家禽加工综合产值达1</w:t>
      </w:r>
      <w:r>
        <w:rPr>
          <w:color w:val="auto"/>
          <w:highlight w:val="none"/>
        </w:rPr>
        <w:t>5</w:t>
      </w:r>
      <w:r>
        <w:rPr>
          <w:rFonts w:hint="eastAsia"/>
          <w:color w:val="auto"/>
          <w:highlight w:val="none"/>
        </w:rPr>
        <w:t>亿元以上。</w:t>
      </w:r>
    </w:p>
    <w:p>
      <w:pPr>
        <w:ind w:firstLine="640"/>
        <w:rPr>
          <w:color w:val="auto"/>
          <w:highlight w:val="none"/>
        </w:rPr>
      </w:pPr>
      <w:r>
        <w:rPr>
          <w:color w:val="auto"/>
          <w:highlight w:val="none"/>
        </w:rPr>
        <w:br w:type="page"/>
      </w:r>
    </w:p>
    <w:p>
      <w:pPr>
        <w:ind w:firstLine="640"/>
        <w:rPr>
          <w:color w:val="auto"/>
          <w:highlight w:val="none"/>
        </w:rPr>
      </w:pPr>
    </w:p>
    <w:p>
      <w:pPr>
        <w:pStyle w:val="2"/>
        <w:rPr>
          <w:color w:val="auto"/>
          <w:highlight w:val="none"/>
        </w:rPr>
      </w:pPr>
      <w:bookmarkStart w:id="56" w:name="_Toc150595444"/>
      <w:r>
        <w:rPr>
          <w:rFonts w:hint="eastAsia"/>
          <w:color w:val="auto"/>
          <w:highlight w:val="none"/>
        </w:rPr>
        <w:t>第五章  巩固提升桑蚕产业</w:t>
      </w:r>
      <w:bookmarkEnd w:id="56"/>
    </w:p>
    <w:p>
      <w:pPr>
        <w:ind w:firstLine="640"/>
        <w:rPr>
          <w:color w:val="auto"/>
          <w:highlight w:val="none"/>
        </w:rPr>
      </w:pPr>
      <w:bookmarkStart w:id="57" w:name="_Toc137565671"/>
    </w:p>
    <w:p>
      <w:pPr>
        <w:pStyle w:val="3"/>
        <w:rPr>
          <w:rFonts w:ascii="Times New Roman" w:hAnsi="Times New Roman"/>
          <w:color w:val="auto"/>
          <w:highlight w:val="none"/>
        </w:rPr>
      </w:pPr>
      <w:bookmarkStart w:id="58" w:name="_Toc150595445"/>
      <w:r>
        <w:rPr>
          <w:rFonts w:hint="eastAsia" w:ascii="Times New Roman" w:hAnsi="Times New Roman"/>
          <w:color w:val="auto"/>
          <w:highlight w:val="none"/>
        </w:rPr>
        <w:t>第一节  基础条件</w:t>
      </w:r>
      <w:bookmarkEnd w:id="57"/>
      <w:bookmarkEnd w:id="58"/>
    </w:p>
    <w:p>
      <w:pPr>
        <w:ind w:firstLine="640"/>
        <w:rPr>
          <w:color w:val="auto"/>
          <w:highlight w:val="none"/>
        </w:rPr>
      </w:pPr>
      <w:r>
        <w:rPr>
          <w:rFonts w:hint="eastAsia"/>
          <w:color w:val="auto"/>
          <w:highlight w:val="none"/>
        </w:rPr>
        <w:t>柳南区依托流山桑蚕产业示范区建设，辐射带动桑蚕产业发展，2</w:t>
      </w:r>
      <w:r>
        <w:rPr>
          <w:color w:val="auto"/>
          <w:highlight w:val="none"/>
        </w:rPr>
        <w:t>022年，柳南区</w:t>
      </w:r>
      <w:r>
        <w:rPr>
          <w:rFonts w:hint="eastAsia"/>
          <w:color w:val="auto"/>
          <w:highlight w:val="none"/>
        </w:rPr>
        <w:t>桑蚕产茧量达3668吨。示范区内建有缫丝厂、桑叶种植基地、小蚕培育基地、商品蚕养殖基地，实现“本地育种、本地繁殖、本地加工、本地售卖”的一条龙桑蚕产业链，2022年桑园面积达1.</w:t>
      </w:r>
      <w:r>
        <w:rPr>
          <w:color w:val="auto"/>
          <w:highlight w:val="none"/>
        </w:rPr>
        <w:t>8</w:t>
      </w:r>
      <w:r>
        <w:rPr>
          <w:rFonts w:hint="eastAsia"/>
          <w:color w:val="auto"/>
          <w:highlight w:val="none"/>
        </w:rPr>
        <w:t>万亩以上。示范区依托当地的人力资源禀赋，培育了广西柳州海波茧丝绸有限责任公司、广西柳州海谋桑蚕养殖农民专业合作社、柳州市柳南区林春蚕茧收购站等经营主体及多户专业大户，形成小蚕集中共育、大蚕分户饲养集中技术指导、蚕茧集中收购、茧丝产品集中加工的稳固“金字塔”产业发展模式，到2022年共带动3000户农户发展桑蚕种养。流山桑蚕产业示范区缫丝厂是柳南区重点打造的乡村振兴项目，厂内设置有收购、选茧、煮茧、缫丝、复摇、编丝等工作车间，厂内生产的蚕丝品质达到5A级别。目前每天可生产蚕丝150多公斤、蚕丝棉100多张，加工蚕蛹300多公斤。</w:t>
      </w:r>
    </w:p>
    <w:p>
      <w:pPr>
        <w:ind w:firstLine="640"/>
        <w:rPr>
          <w:color w:val="auto"/>
          <w:highlight w:val="none"/>
        </w:rPr>
      </w:pPr>
    </w:p>
    <w:p>
      <w:pPr>
        <w:pStyle w:val="3"/>
        <w:rPr>
          <w:rFonts w:ascii="Times New Roman" w:hAnsi="Times New Roman"/>
          <w:color w:val="auto"/>
          <w:highlight w:val="none"/>
        </w:rPr>
      </w:pPr>
      <w:bookmarkStart w:id="59" w:name="_Toc150595446"/>
      <w:bookmarkStart w:id="60" w:name="_Toc137565672"/>
      <w:r>
        <w:rPr>
          <w:rFonts w:hint="eastAsia" w:ascii="Times New Roman" w:hAnsi="Times New Roman"/>
          <w:color w:val="auto"/>
          <w:highlight w:val="none"/>
        </w:rPr>
        <w:t>第二节  发展思路</w:t>
      </w:r>
      <w:bookmarkEnd w:id="59"/>
      <w:bookmarkEnd w:id="60"/>
    </w:p>
    <w:p>
      <w:pPr>
        <w:ind w:firstLine="640"/>
        <w:rPr>
          <w:color w:val="auto"/>
          <w:highlight w:val="none"/>
        </w:rPr>
      </w:pPr>
      <w:r>
        <w:rPr>
          <w:rFonts w:hint="eastAsia"/>
          <w:color w:val="auto"/>
          <w:highlight w:val="none"/>
        </w:rPr>
        <w:t>以优质茧生产、茧丝精深加工、蚕桑茧丝资源多元化应用推进桑蚕优势特色经济作物种植基地建设，做优做强桑蚕产业集群，打造桑蚕优势特色经济作物种植基地。以科技创新为引领，推动桑蚕种植基地的规模化种植、标准化生产、品牌化销售，全力推动柳南区农业产业提质增效。稳定流山桑蚕产业，增强本地桑蚕加工实力，扩展桑蚕农副产品，延长产业链，培育本地桑蚕品牌。通过提高柳南区桑蚕特色优势农业产业的规模和总量，着力抓创新、创品牌、拓市场，提升农业质量效益和竞争力，实现现代特色农业调整优化、提档升级。</w:t>
      </w:r>
    </w:p>
    <w:p>
      <w:pPr>
        <w:ind w:firstLine="640"/>
        <w:rPr>
          <w:color w:val="auto"/>
          <w:highlight w:val="none"/>
        </w:rPr>
      </w:pPr>
    </w:p>
    <w:p>
      <w:pPr>
        <w:pStyle w:val="3"/>
        <w:rPr>
          <w:rFonts w:ascii="Times New Roman" w:hAnsi="Times New Roman"/>
          <w:color w:val="auto"/>
          <w:highlight w:val="none"/>
        </w:rPr>
      </w:pPr>
      <w:bookmarkStart w:id="61" w:name="_Toc137565673"/>
      <w:bookmarkStart w:id="62" w:name="_Toc150595447"/>
      <w:r>
        <w:rPr>
          <w:rFonts w:hint="eastAsia" w:ascii="Times New Roman" w:hAnsi="Times New Roman"/>
          <w:color w:val="auto"/>
          <w:highlight w:val="none"/>
        </w:rPr>
        <w:t>第三节  预期目标</w:t>
      </w:r>
      <w:bookmarkEnd w:id="61"/>
      <w:bookmarkEnd w:id="62"/>
    </w:p>
    <w:p>
      <w:pPr>
        <w:ind w:firstLine="640"/>
        <w:rPr>
          <w:color w:val="auto"/>
          <w:highlight w:val="none"/>
        </w:rPr>
      </w:pPr>
      <w:r>
        <w:rPr>
          <w:rFonts w:hint="eastAsia"/>
          <w:color w:val="auto"/>
          <w:highlight w:val="none"/>
        </w:rPr>
        <w:t>种植规模进一步扩大，设施设备更加先进，产品质量更加优良，产业效益明显增加，打造</w:t>
      </w:r>
      <w:r>
        <w:rPr>
          <w:rFonts w:hint="eastAsia"/>
          <w:b/>
          <w:bCs/>
          <w:color w:val="auto"/>
          <w:highlight w:val="none"/>
        </w:rPr>
        <w:t>桑蚕全产业链高质量发展样板</w:t>
      </w:r>
      <w:r>
        <w:rPr>
          <w:rFonts w:hint="eastAsia"/>
          <w:color w:val="auto"/>
          <w:highlight w:val="none"/>
        </w:rPr>
        <w:t>。到2025年，全区桑园面积稳定在</w:t>
      </w:r>
      <w:r>
        <w:rPr>
          <w:color w:val="auto"/>
          <w:highlight w:val="none"/>
        </w:rPr>
        <w:t>1.8</w:t>
      </w:r>
      <w:r>
        <w:rPr>
          <w:rFonts w:hint="eastAsia"/>
          <w:color w:val="auto"/>
          <w:highlight w:val="none"/>
        </w:rPr>
        <w:t>万亩，设施生产蚕茧产量超</w:t>
      </w:r>
      <w:r>
        <w:rPr>
          <w:color w:val="auto"/>
          <w:highlight w:val="none"/>
        </w:rPr>
        <w:t>5</w:t>
      </w:r>
      <w:r>
        <w:rPr>
          <w:rFonts w:hint="eastAsia"/>
          <w:color w:val="auto"/>
          <w:highlight w:val="none"/>
        </w:rPr>
        <w:t>000吨，产值达到3亿元。加强蚕桑机械研发与技术创新，积极推进数字新兴技术在茧丝精深加工的应用，到2025年规模缫丝厂智能缫丝生产线应用率达100%。加大经营主体扶持力度，到2025年共培育或引进规模经营主体5家以上。加快桑、蚕、茧、丝资源的多元应用，促进桑蚕产业、加工业、休闲观光业和蚕桑丝绸文化产业的互动融合发展。加大培育柳南区本土品牌力度，到2025年全区举办商标法律知识宣传和辅导培训会共10次以上，培育2个本土桑蚕丝绸品牌。采信蚕茧、生丝质量公证检验及商业检验数据，蚕茧、生丝质量</w:t>
      </w:r>
      <w:r>
        <w:rPr>
          <w:color w:val="auto"/>
          <w:highlight w:val="none"/>
        </w:rPr>
        <w:t>安全</w:t>
      </w:r>
      <w:r>
        <w:rPr>
          <w:rFonts w:hint="eastAsia"/>
          <w:color w:val="auto"/>
          <w:highlight w:val="none"/>
        </w:rPr>
        <w:t>检测合格率达</w:t>
      </w:r>
      <w:r>
        <w:rPr>
          <w:color w:val="auto"/>
          <w:highlight w:val="none"/>
        </w:rPr>
        <w:t>99</w:t>
      </w:r>
      <w:r>
        <w:rPr>
          <w:rFonts w:hint="eastAsia"/>
          <w:color w:val="auto"/>
          <w:highlight w:val="none"/>
        </w:rPr>
        <w:t>%</w:t>
      </w:r>
      <w:r>
        <w:rPr>
          <w:color w:val="auto"/>
          <w:highlight w:val="none"/>
        </w:rPr>
        <w:t>以上</w:t>
      </w:r>
      <w:r>
        <w:rPr>
          <w:rFonts w:hint="eastAsia"/>
          <w:color w:val="auto"/>
          <w:highlight w:val="none"/>
        </w:rPr>
        <w:t>。</w:t>
      </w:r>
    </w:p>
    <w:p>
      <w:pPr>
        <w:ind w:firstLine="640"/>
        <w:rPr>
          <w:color w:val="auto"/>
          <w:highlight w:val="none"/>
        </w:rPr>
      </w:pPr>
    </w:p>
    <w:p>
      <w:pPr>
        <w:pStyle w:val="3"/>
        <w:rPr>
          <w:rFonts w:ascii="Times New Roman" w:hAnsi="Times New Roman"/>
          <w:color w:val="auto"/>
          <w:highlight w:val="none"/>
        </w:rPr>
      </w:pPr>
      <w:bookmarkStart w:id="63" w:name="_Toc150595448"/>
      <w:bookmarkStart w:id="64" w:name="_Toc137565674"/>
      <w:r>
        <w:rPr>
          <w:rFonts w:hint="eastAsia" w:ascii="Times New Roman" w:hAnsi="Times New Roman"/>
          <w:color w:val="auto"/>
          <w:highlight w:val="none"/>
        </w:rPr>
        <w:t>第四节  重点任务</w:t>
      </w:r>
      <w:bookmarkEnd w:id="63"/>
      <w:bookmarkEnd w:id="64"/>
    </w:p>
    <w:p>
      <w:pPr>
        <w:pStyle w:val="4"/>
        <w:ind w:firstLine="643"/>
        <w:rPr>
          <w:rFonts w:eastAsia="仿宋_GB2312"/>
          <w:color w:val="auto"/>
          <w:highlight w:val="none"/>
        </w:rPr>
      </w:pPr>
      <w:r>
        <w:rPr>
          <w:rFonts w:hint="eastAsia"/>
          <w:color w:val="auto"/>
          <w:highlight w:val="none"/>
        </w:rPr>
        <w:t>一、加强标准化桑蚕生产基地建设</w:t>
      </w:r>
    </w:p>
    <w:p>
      <w:pPr>
        <w:ind w:firstLine="640"/>
        <w:rPr>
          <w:color w:val="auto"/>
          <w:highlight w:val="none"/>
        </w:rPr>
      </w:pPr>
      <w:r>
        <w:rPr>
          <w:rFonts w:hint="eastAsia"/>
          <w:color w:val="auto"/>
          <w:highlight w:val="none"/>
        </w:rPr>
        <w:t>柳南区重点推进流山镇桑蚕优势特色经济作物种植基地的建设，着力推进桑园“宜机化”改造，加快桑园高效植保与耕种收环节机械化集成配套，推广应用适合机械化作业、轻简化栽培的桑品种，探索全程机械化作业，实现丰产丰收。因地制宜推广优质高产新品种和省力高效新机具，到2025年，建成桑蚕产业示范区一个。</w:t>
      </w:r>
    </w:p>
    <w:p>
      <w:pPr>
        <w:pStyle w:val="4"/>
        <w:ind w:firstLine="643"/>
        <w:rPr>
          <w:color w:val="auto"/>
          <w:highlight w:val="none"/>
        </w:rPr>
      </w:pPr>
      <w:r>
        <w:rPr>
          <w:rFonts w:hint="eastAsia"/>
          <w:color w:val="auto"/>
          <w:highlight w:val="none"/>
        </w:rPr>
        <w:t>二、推进智能绿色发展</w:t>
      </w:r>
    </w:p>
    <w:p>
      <w:pPr>
        <w:ind w:firstLine="640"/>
        <w:rPr>
          <w:color w:val="auto"/>
          <w:highlight w:val="none"/>
        </w:rPr>
      </w:pPr>
      <w:r>
        <w:rPr>
          <w:rFonts w:hint="eastAsia"/>
          <w:color w:val="auto"/>
          <w:highlight w:val="none"/>
        </w:rPr>
        <w:t>柳南区不断扶持新型经营主体在桑蚕生产基地周边建设标准催青室、小蚕共育室、大蚕房、蚕沙无害化处理等设施，配套建设标准化收烘站；全面推广小蚕共育、大蚕集中饲养、滚动多批饲育、方格蔟自动上蔟、仪评定级等关键技术，示范推广智能化养蚕系统，实现工厂化饲育。柳南区支持鼓励企业建设智能缫丝、织绸及智能丝绸印染工厂（车间），培育推广丝绸终端产品个性化定制生产模式，推动丝绸精炼和印染环节智能化、绿色化改造，推动上下游企业共同实现绿色发展。</w:t>
      </w:r>
    </w:p>
    <w:p>
      <w:pPr>
        <w:pStyle w:val="4"/>
        <w:ind w:firstLine="643"/>
        <w:rPr>
          <w:rFonts w:eastAsia="仿宋_GB2312"/>
          <w:color w:val="auto"/>
          <w:highlight w:val="none"/>
        </w:rPr>
      </w:pPr>
      <w:r>
        <w:rPr>
          <w:rFonts w:hint="eastAsia"/>
          <w:color w:val="auto"/>
          <w:highlight w:val="none"/>
        </w:rPr>
        <w:t>三、提升桑资源综合开发利用水平</w:t>
      </w:r>
    </w:p>
    <w:p>
      <w:pPr>
        <w:ind w:firstLine="640"/>
        <w:rPr>
          <w:color w:val="auto"/>
          <w:highlight w:val="none"/>
        </w:rPr>
      </w:pPr>
      <w:r>
        <w:rPr>
          <w:rFonts w:hint="eastAsia"/>
          <w:color w:val="auto"/>
          <w:highlight w:val="none"/>
        </w:rPr>
        <w:t>柳南区流山镇坚持立桑为业，培育、引进一批以桑资源制成食品、茶、饮料、酒、食用菌、饲料等领域的骨干企业，到2025年共培育或引进规模经营主体5家以上。充分开发蚕桑茧丝绸产业链上的资源，加大桑枝、桑果、桑叶、蚕蛹和蚕沙等副产物高值化加工利用，提高资源开发应用的广度和深度。联合科研单位进行桑树石漠化治理、矿区复垦、土壤修复等生态功能的开发项目，同步开发桑园套种套养、田园采摘、农业旅游等多种模式，助推生态经济发展。</w:t>
      </w:r>
    </w:p>
    <w:p>
      <w:pPr>
        <w:pStyle w:val="4"/>
        <w:ind w:firstLine="643"/>
        <w:rPr>
          <w:color w:val="auto"/>
          <w:highlight w:val="none"/>
        </w:rPr>
      </w:pPr>
      <w:r>
        <w:rPr>
          <w:rFonts w:hint="eastAsia"/>
          <w:color w:val="auto"/>
          <w:highlight w:val="none"/>
        </w:rPr>
        <w:t>四、延伸产业链</w:t>
      </w:r>
    </w:p>
    <w:p>
      <w:pPr>
        <w:ind w:firstLine="640"/>
        <w:rPr>
          <w:color w:val="auto"/>
          <w:highlight w:val="none"/>
        </w:rPr>
      </w:pPr>
      <w:r>
        <w:rPr>
          <w:rFonts w:hint="eastAsia"/>
          <w:color w:val="auto"/>
          <w:highlight w:val="none"/>
        </w:rPr>
        <w:t>柳南区积极引进培养龙头企业，不断引导企业优化产业布局、逐步完善产业链。延伸发展蚕桑加工企业，推动形成“桑—蚕—茧—丝—绸—服装”“桑树（果）—桑枝（食用菌、生物碱提取、生物发电）—桑叶茶（桑叶固体饮料）—桑果酒”“下茧（废丝）—蚕丝被”等产业链，进一步助推柳南区桑蚕产业发展体系快速发展。全区大力发展电子商务，构建新型营销模式，实现桑蚕产品线上及线下齐头走的营销网络，走出一条电商与产业发展、巩固拓展脱贫攻坚成果同乡村振兴有效衔接相融合的道路。柳南区加快建设桑蚕产业农文旅发展链，以大石村、流塘村、流山村、正兰村自然风光+产业基础拓展农文旅，建设“一小时”自驾游旅游目的地，开展桑蚕文化节等活动，提升地域知名度，助力乡村振兴发展。</w:t>
      </w:r>
    </w:p>
    <w:p>
      <w:pPr>
        <w:pStyle w:val="4"/>
        <w:ind w:firstLine="643"/>
        <w:rPr>
          <w:rFonts w:eastAsia="仿宋_GB2312"/>
          <w:color w:val="auto"/>
          <w:highlight w:val="none"/>
        </w:rPr>
      </w:pPr>
      <w:r>
        <w:rPr>
          <w:rFonts w:hint="eastAsia"/>
          <w:color w:val="auto"/>
          <w:highlight w:val="none"/>
        </w:rPr>
        <w:t>五、培养柳南区本地品牌</w:t>
      </w:r>
    </w:p>
    <w:p>
      <w:pPr>
        <w:ind w:firstLine="640"/>
        <w:rPr>
          <w:color w:val="auto"/>
          <w:highlight w:val="none"/>
        </w:rPr>
      </w:pPr>
      <w:r>
        <w:rPr>
          <w:rFonts w:hint="eastAsia"/>
          <w:color w:val="auto"/>
          <w:highlight w:val="none"/>
        </w:rPr>
        <w:t>柳南区加大对本土桑蚕品牌的培育力度，积极引导企业办理注册商标，并在申请环节给予帮助和指导。深入桑蚕生产基地开展商标法律知识宣传和辅导培训，指导企业注册商标、运用商标，帮助企业提高科学实施商标战略及创新、运作和护牌能力。到2025年举办商标法律知识宣传和辅导培训会共10次以上。鼓励新型经营主体打造本土自主丝绸品牌，以丝绸面料精品工程为抓手，加强丝绸产业链上下游协同开发，提高品牌产品市场占有率、溢价能力。到2025年，共培育2个本土桑蚕丝绸品牌。持续加大品牌宣传推介力度，支持丝绸企业参加展会，扩大柳南区丝绸影响力。采信蚕茧、生丝质量公证检验及商业检验数据，完善茧丝绸产品质量分等分级制度，优化升级茧丝产品质量等级标准，到2025年，蚕茧、生丝质量</w:t>
      </w:r>
      <w:r>
        <w:rPr>
          <w:color w:val="auto"/>
          <w:highlight w:val="none"/>
        </w:rPr>
        <w:t>安全</w:t>
      </w:r>
      <w:r>
        <w:rPr>
          <w:rFonts w:hint="eastAsia"/>
          <w:color w:val="auto"/>
          <w:highlight w:val="none"/>
        </w:rPr>
        <w:t>检测合格率达</w:t>
      </w:r>
      <w:r>
        <w:rPr>
          <w:color w:val="auto"/>
          <w:highlight w:val="none"/>
        </w:rPr>
        <w:t>99</w:t>
      </w:r>
      <w:r>
        <w:rPr>
          <w:rFonts w:hint="eastAsia"/>
          <w:color w:val="auto"/>
          <w:highlight w:val="none"/>
        </w:rPr>
        <w:t>%</w:t>
      </w:r>
      <w:r>
        <w:rPr>
          <w:color w:val="auto"/>
          <w:highlight w:val="none"/>
        </w:rPr>
        <w:t>以上</w:t>
      </w:r>
      <w:r>
        <w:rPr>
          <w:rFonts w:hint="eastAsia"/>
          <w:color w:val="auto"/>
          <w:highlight w:val="none"/>
        </w:rPr>
        <w:t>。</w:t>
      </w:r>
    </w:p>
    <w:p>
      <w:pPr>
        <w:widowControl/>
        <w:spacing w:line="240" w:lineRule="auto"/>
        <w:ind w:firstLine="0" w:firstLineChars="0"/>
        <w:jc w:val="left"/>
        <w:rPr>
          <w:color w:val="auto"/>
          <w:highlight w:val="none"/>
        </w:rPr>
      </w:pPr>
      <w:r>
        <w:rPr>
          <w:color w:val="auto"/>
          <w:highlight w:val="none"/>
        </w:rPr>
        <w:br w:type="page"/>
      </w:r>
    </w:p>
    <w:p>
      <w:pPr>
        <w:ind w:firstLine="640"/>
        <w:rPr>
          <w:color w:val="auto"/>
          <w:highlight w:val="none"/>
        </w:rPr>
      </w:pPr>
    </w:p>
    <w:p>
      <w:pPr>
        <w:pStyle w:val="2"/>
        <w:rPr>
          <w:color w:val="auto"/>
          <w:highlight w:val="none"/>
        </w:rPr>
      </w:pPr>
      <w:bookmarkStart w:id="65" w:name="_Toc150595449"/>
      <w:r>
        <w:rPr>
          <w:rFonts w:hint="eastAsia"/>
          <w:color w:val="auto"/>
          <w:highlight w:val="none"/>
        </w:rPr>
        <w:t>第六章  巩固提升其他特色产业</w:t>
      </w:r>
      <w:bookmarkEnd w:id="65"/>
    </w:p>
    <w:p>
      <w:pPr>
        <w:ind w:firstLine="640"/>
        <w:rPr>
          <w:color w:val="auto"/>
          <w:highlight w:val="none"/>
        </w:rPr>
      </w:pPr>
    </w:p>
    <w:p>
      <w:pPr>
        <w:pStyle w:val="3"/>
        <w:rPr>
          <w:rFonts w:ascii="Times New Roman" w:hAnsi="Times New Roman"/>
          <w:color w:val="auto"/>
          <w:highlight w:val="none"/>
        </w:rPr>
      </w:pPr>
      <w:bookmarkStart w:id="66" w:name="_Toc150595450"/>
      <w:r>
        <w:rPr>
          <w:rFonts w:hint="eastAsia" w:ascii="Times New Roman" w:hAnsi="Times New Roman"/>
          <w:color w:val="auto"/>
          <w:highlight w:val="none"/>
        </w:rPr>
        <w:t>第一节  发展思路</w:t>
      </w:r>
      <w:bookmarkEnd w:id="66"/>
    </w:p>
    <w:p>
      <w:pPr>
        <w:ind w:firstLine="640"/>
        <w:rPr>
          <w:color w:val="auto"/>
          <w:highlight w:val="none"/>
        </w:rPr>
      </w:pPr>
      <w:bookmarkStart w:id="67" w:name="_Toc137565677"/>
      <w:r>
        <w:rPr>
          <w:rFonts w:hint="eastAsia"/>
          <w:color w:val="auto"/>
          <w:highlight w:val="none"/>
        </w:rPr>
        <w:t>立足于柳南区农业产业发展政策和乡村振兴战略，统筹推进油茶、玉米、生猪、肉牛等特色产业发展建设，深化种养布局，完善种植、养殖、加工、物流、研发、电商、科技等板块环节，有效拓展延伸产业链，实现特色农业高质量发展，促进农村产业融合，带动农户产业致富，助推乡村振兴。</w:t>
      </w:r>
    </w:p>
    <w:p>
      <w:pPr>
        <w:ind w:firstLine="640"/>
        <w:rPr>
          <w:color w:val="auto"/>
          <w:highlight w:val="none"/>
        </w:rPr>
      </w:pPr>
    </w:p>
    <w:p>
      <w:pPr>
        <w:pStyle w:val="3"/>
        <w:rPr>
          <w:rFonts w:ascii="Times New Roman" w:hAnsi="Times New Roman"/>
          <w:color w:val="auto"/>
          <w:highlight w:val="none"/>
        </w:rPr>
      </w:pPr>
      <w:bookmarkStart w:id="68" w:name="_Toc150595451"/>
      <w:r>
        <w:rPr>
          <w:rFonts w:hint="eastAsia" w:ascii="Times New Roman" w:hAnsi="Times New Roman"/>
          <w:color w:val="auto"/>
          <w:highlight w:val="none"/>
        </w:rPr>
        <w:t>第二节  预期目标</w:t>
      </w:r>
      <w:bookmarkEnd w:id="68"/>
    </w:p>
    <w:p>
      <w:pPr>
        <w:ind w:firstLine="640"/>
        <w:rPr>
          <w:color w:val="auto"/>
          <w:highlight w:val="none"/>
        </w:rPr>
      </w:pPr>
      <w:r>
        <w:rPr>
          <w:rFonts w:hint="eastAsia"/>
          <w:color w:val="auto"/>
          <w:highlight w:val="none"/>
        </w:rPr>
        <w:t>深入推进玉米粮食产业建设，到2</w:t>
      </w:r>
      <w:r>
        <w:rPr>
          <w:color w:val="auto"/>
          <w:highlight w:val="none"/>
        </w:rPr>
        <w:t>025</w:t>
      </w:r>
      <w:r>
        <w:rPr>
          <w:rFonts w:hint="eastAsia"/>
          <w:color w:val="auto"/>
          <w:highlight w:val="none"/>
        </w:rPr>
        <w:t>年，新建标准化玉米种植基地1000亩以上，新建高质量玉米轮作基地3700亩以上，玉米轮作推广示范点10个，全区玉米种植面积达到1.5万亩以上，年产量达4000吨以上，产业产值达2000万元以上，新增认证绿色、有机、富硒产品</w:t>
      </w:r>
      <w:r>
        <w:rPr>
          <w:color w:val="auto"/>
          <w:highlight w:val="none"/>
        </w:rPr>
        <w:t>2</w:t>
      </w:r>
      <w:r>
        <w:rPr>
          <w:rFonts w:hint="eastAsia"/>
          <w:color w:val="auto"/>
          <w:highlight w:val="none"/>
        </w:rPr>
        <w:t>个以上，实现优质鲜食玉米亩产1</w:t>
      </w:r>
      <w:r>
        <w:rPr>
          <w:color w:val="auto"/>
          <w:highlight w:val="none"/>
        </w:rPr>
        <w:t>000</w:t>
      </w:r>
      <w:r>
        <w:rPr>
          <w:rFonts w:hint="eastAsia" w:ascii="宋体" w:hAnsi="宋体" w:eastAsia="宋体" w:cs="宋体"/>
          <w:color w:val="auto"/>
          <w:highlight w:val="none"/>
        </w:rPr>
        <w:t>公</w:t>
      </w:r>
      <w:r>
        <w:rPr>
          <w:rFonts w:hint="eastAsia"/>
          <w:color w:val="auto"/>
          <w:highlight w:val="none"/>
        </w:rPr>
        <w:t>斤以上；推进油茶产业高质量发展，到2</w:t>
      </w:r>
      <w:r>
        <w:rPr>
          <w:color w:val="auto"/>
          <w:highlight w:val="none"/>
        </w:rPr>
        <w:t>025</w:t>
      </w:r>
      <w:r>
        <w:rPr>
          <w:rFonts w:hint="eastAsia"/>
          <w:color w:val="auto"/>
          <w:highlight w:val="none"/>
        </w:rPr>
        <w:t>年，打造千亩高标准优质茶油产业示范基地，油茶种植面积达到2</w:t>
      </w:r>
      <w:r>
        <w:rPr>
          <w:color w:val="auto"/>
          <w:highlight w:val="none"/>
        </w:rPr>
        <w:t>000</w:t>
      </w:r>
      <w:r>
        <w:rPr>
          <w:rFonts w:hint="eastAsia"/>
          <w:color w:val="auto"/>
          <w:highlight w:val="none"/>
        </w:rPr>
        <w:t>亩，油茶籽年产量达到1</w:t>
      </w:r>
      <w:r>
        <w:rPr>
          <w:color w:val="auto"/>
          <w:highlight w:val="none"/>
        </w:rPr>
        <w:t>.5</w:t>
      </w:r>
      <w:r>
        <w:rPr>
          <w:rFonts w:hint="eastAsia"/>
          <w:color w:val="auto"/>
          <w:highlight w:val="none"/>
        </w:rPr>
        <w:t>万吨，综合年产值达到</w:t>
      </w:r>
      <w:r>
        <w:rPr>
          <w:color w:val="auto"/>
          <w:highlight w:val="none"/>
        </w:rPr>
        <w:t>20</w:t>
      </w:r>
      <w:r>
        <w:rPr>
          <w:rFonts w:hint="eastAsia"/>
          <w:color w:val="auto"/>
          <w:highlight w:val="none"/>
        </w:rPr>
        <w:t>万元以上，带动就业5</w:t>
      </w:r>
      <w:r>
        <w:rPr>
          <w:color w:val="auto"/>
          <w:highlight w:val="none"/>
        </w:rPr>
        <w:t>00</w:t>
      </w:r>
      <w:r>
        <w:rPr>
          <w:rFonts w:hint="eastAsia"/>
          <w:color w:val="auto"/>
          <w:highlight w:val="none"/>
        </w:rPr>
        <w:t>人以上；建设油茶林下种养5</w:t>
      </w:r>
      <w:r>
        <w:rPr>
          <w:color w:val="auto"/>
          <w:highlight w:val="none"/>
        </w:rPr>
        <w:t>00</w:t>
      </w:r>
      <w:r>
        <w:rPr>
          <w:rFonts w:hint="eastAsia"/>
          <w:color w:val="auto"/>
          <w:highlight w:val="none"/>
        </w:rPr>
        <w:t>亩以上，林下经济综合效益达到5</w:t>
      </w:r>
      <w:r>
        <w:rPr>
          <w:color w:val="auto"/>
          <w:highlight w:val="none"/>
        </w:rPr>
        <w:t>0</w:t>
      </w:r>
      <w:r>
        <w:rPr>
          <w:rFonts w:hint="eastAsia"/>
          <w:color w:val="auto"/>
          <w:highlight w:val="none"/>
        </w:rPr>
        <w:t>万元以上；打造生猪农业全产业链，形成养殖业产业集群，构建覆盖养殖、生产加工、仓储物流、终端销售的质量追溯体系，应用规模化养殖设施装备及配套技术，到2</w:t>
      </w:r>
      <w:r>
        <w:rPr>
          <w:color w:val="auto"/>
          <w:highlight w:val="none"/>
        </w:rPr>
        <w:t>025年，打造</w:t>
      </w:r>
      <w:r>
        <w:rPr>
          <w:rFonts w:hint="eastAsia"/>
          <w:color w:val="auto"/>
          <w:highlight w:val="none"/>
        </w:rPr>
        <w:t>2</w:t>
      </w:r>
      <w:r>
        <w:rPr>
          <w:color w:val="auto"/>
          <w:highlight w:val="none"/>
        </w:rPr>
        <w:t>个现代化生猪</w:t>
      </w:r>
      <w:r>
        <w:rPr>
          <w:rFonts w:hint="eastAsia"/>
          <w:color w:val="auto"/>
          <w:highlight w:val="none"/>
        </w:rPr>
        <w:t>养殖场；</w:t>
      </w:r>
      <w:bookmarkStart w:id="69" w:name="_Hlk150934911"/>
      <w:r>
        <w:rPr>
          <w:rFonts w:hint="eastAsia"/>
          <w:color w:val="auto"/>
          <w:highlight w:val="none"/>
        </w:rPr>
        <w:t>推动肉牛规模化、标准化饲养，到2</w:t>
      </w:r>
      <w:r>
        <w:rPr>
          <w:color w:val="auto"/>
          <w:highlight w:val="none"/>
        </w:rPr>
        <w:t>025</w:t>
      </w:r>
      <w:r>
        <w:rPr>
          <w:rFonts w:hint="eastAsia"/>
          <w:color w:val="auto"/>
          <w:highlight w:val="none"/>
        </w:rPr>
        <w:t>年，在洛满镇建设1个以上大型</w:t>
      </w:r>
      <w:r>
        <w:rPr>
          <w:rFonts w:hint="eastAsia"/>
          <w:color w:val="auto"/>
          <w:spacing w:val="-6"/>
          <w:highlight w:val="none"/>
        </w:rPr>
        <w:t>肉牛养殖基地，每年为村集体经济收入增加固定收益约2</w:t>
      </w:r>
      <w:r>
        <w:rPr>
          <w:color w:val="auto"/>
          <w:spacing w:val="-6"/>
          <w:highlight w:val="none"/>
        </w:rPr>
        <w:t>0</w:t>
      </w:r>
      <w:r>
        <w:rPr>
          <w:rFonts w:hint="eastAsia"/>
          <w:color w:val="auto"/>
          <w:spacing w:val="-6"/>
          <w:highlight w:val="none"/>
        </w:rPr>
        <w:t>万元以上。</w:t>
      </w:r>
    </w:p>
    <w:bookmarkEnd w:id="69"/>
    <w:p>
      <w:pPr>
        <w:ind w:firstLine="640"/>
        <w:rPr>
          <w:color w:val="auto"/>
          <w:highlight w:val="none"/>
        </w:rPr>
      </w:pPr>
    </w:p>
    <w:p>
      <w:pPr>
        <w:pStyle w:val="3"/>
        <w:rPr>
          <w:rFonts w:ascii="Times New Roman" w:hAnsi="Times New Roman"/>
          <w:color w:val="auto"/>
          <w:highlight w:val="none"/>
        </w:rPr>
      </w:pPr>
      <w:bookmarkStart w:id="70" w:name="_Toc150595452"/>
      <w:r>
        <w:rPr>
          <w:rFonts w:hint="eastAsia" w:ascii="Times New Roman" w:hAnsi="Times New Roman"/>
          <w:color w:val="auto"/>
          <w:highlight w:val="none"/>
        </w:rPr>
        <w:t>第三节  重点任务</w:t>
      </w:r>
      <w:bookmarkEnd w:id="70"/>
    </w:p>
    <w:bookmarkEnd w:id="67"/>
    <w:p>
      <w:pPr>
        <w:pStyle w:val="4"/>
        <w:ind w:firstLine="643"/>
        <w:rPr>
          <w:color w:val="auto"/>
          <w:highlight w:val="none"/>
        </w:rPr>
      </w:pPr>
      <w:r>
        <w:rPr>
          <w:rFonts w:hint="eastAsia"/>
          <w:color w:val="auto"/>
          <w:highlight w:val="none"/>
        </w:rPr>
        <w:t>一、打造规模化标准化油茶产业链条</w:t>
      </w:r>
    </w:p>
    <w:p>
      <w:pPr>
        <w:ind w:firstLine="640"/>
        <w:rPr>
          <w:color w:val="auto"/>
          <w:highlight w:val="none"/>
        </w:rPr>
      </w:pPr>
      <w:r>
        <w:rPr>
          <w:rFonts w:hint="eastAsia"/>
          <w:color w:val="auto"/>
          <w:highlight w:val="none"/>
        </w:rPr>
        <w:t>柳南区立足于自治区油茶产业发展规划，以油茶规模化、标准化种植和油茶林综合开发为主要方向，打造规模化标准化油茶产业链条。加快建设一批油茶林、高质量千亩油茶示范基地，搭建自动化、数字化油茶发展平台，推行“公司+基地+农户”的合作机制，积极探索油茶产业链多功能多业态开发，深入实施产业联农带农建设，做活做强柳南区油茶产业，助力国家粮油安全；深化油茶全产业链精深加工及产品研发，完善油茶精深加工产业体系，打造柳州规模最大、各方面最完善的油茶产业链条；到2</w:t>
      </w:r>
      <w:r>
        <w:rPr>
          <w:color w:val="auto"/>
          <w:highlight w:val="none"/>
        </w:rPr>
        <w:t>025</w:t>
      </w:r>
      <w:r>
        <w:rPr>
          <w:rFonts w:hint="eastAsia"/>
          <w:color w:val="auto"/>
          <w:highlight w:val="none"/>
        </w:rPr>
        <w:t>年，油茶种植面积达到2</w:t>
      </w:r>
      <w:r>
        <w:rPr>
          <w:color w:val="auto"/>
          <w:highlight w:val="none"/>
        </w:rPr>
        <w:t>000</w:t>
      </w:r>
      <w:r>
        <w:rPr>
          <w:rFonts w:hint="eastAsia"/>
          <w:color w:val="auto"/>
          <w:highlight w:val="none"/>
        </w:rPr>
        <w:t>亩以上，油茶籽年产量达到</w:t>
      </w:r>
      <w:r>
        <w:rPr>
          <w:color w:val="auto"/>
          <w:highlight w:val="none"/>
        </w:rPr>
        <w:t>1.5</w:t>
      </w:r>
      <w:r>
        <w:rPr>
          <w:rFonts w:hint="eastAsia"/>
          <w:color w:val="auto"/>
          <w:highlight w:val="none"/>
        </w:rPr>
        <w:t>万吨，综合年产值达到</w:t>
      </w:r>
      <w:r>
        <w:rPr>
          <w:color w:val="auto"/>
          <w:highlight w:val="none"/>
        </w:rPr>
        <w:t>20</w:t>
      </w:r>
      <w:r>
        <w:rPr>
          <w:rFonts w:hint="eastAsia"/>
          <w:color w:val="auto"/>
          <w:highlight w:val="none"/>
        </w:rPr>
        <w:t>万元以上，带动就业1</w:t>
      </w:r>
      <w:r>
        <w:rPr>
          <w:color w:val="auto"/>
          <w:highlight w:val="none"/>
        </w:rPr>
        <w:t>000</w:t>
      </w:r>
      <w:r>
        <w:rPr>
          <w:rFonts w:hint="eastAsia"/>
          <w:color w:val="auto"/>
          <w:highlight w:val="none"/>
        </w:rPr>
        <w:t>人以上。</w:t>
      </w:r>
    </w:p>
    <w:p>
      <w:pPr>
        <w:pStyle w:val="4"/>
        <w:ind w:firstLine="643"/>
        <w:rPr>
          <w:color w:val="auto"/>
          <w:highlight w:val="none"/>
        </w:rPr>
      </w:pPr>
      <w:r>
        <w:rPr>
          <w:rFonts w:hint="eastAsia"/>
          <w:color w:val="auto"/>
          <w:highlight w:val="none"/>
        </w:rPr>
        <w:t>二、促进油茶林下种养低碳经济发展</w:t>
      </w:r>
    </w:p>
    <w:p>
      <w:pPr>
        <w:ind w:firstLine="640"/>
        <w:rPr>
          <w:color w:val="auto"/>
          <w:highlight w:val="none"/>
        </w:rPr>
      </w:pPr>
      <w:r>
        <w:rPr>
          <w:rFonts w:hint="eastAsia"/>
          <w:color w:val="auto"/>
          <w:highlight w:val="none"/>
        </w:rPr>
        <w:t>柳南区以全区油茶林、油茶树为基础，以生态农业发展理念为框架，以生态种养体系为支撑，发展油茶林下种养低碳经济，促进一地多产综合建设。加快油茶林下种养建设，结合螺蛳粉原材料、家禽等特色产业发展，推行林下种椒、林下养鸭、林下养鸡、林下养蛙等生态种养结合模式，探索发展油茶特色林下经济，打造特色产业融合多业态低碳经济带；加强技术引领，强化科技支撑，通过深化与中国农业大学、广西壮族自治区农业科学院、广西壮族自治区林业科学院油茶研究所等高校机构的合作，强化林下种养发展指导，持续推进连片发展；到2</w:t>
      </w:r>
      <w:r>
        <w:rPr>
          <w:color w:val="auto"/>
          <w:highlight w:val="none"/>
        </w:rPr>
        <w:t>025</w:t>
      </w:r>
      <w:r>
        <w:rPr>
          <w:rFonts w:hint="eastAsia"/>
          <w:color w:val="auto"/>
          <w:highlight w:val="none"/>
        </w:rPr>
        <w:t>年，林下种养达到5</w:t>
      </w:r>
      <w:r>
        <w:rPr>
          <w:color w:val="auto"/>
          <w:highlight w:val="none"/>
        </w:rPr>
        <w:t>00</w:t>
      </w:r>
      <w:r>
        <w:rPr>
          <w:rFonts w:hint="eastAsia"/>
          <w:color w:val="auto"/>
          <w:highlight w:val="none"/>
        </w:rPr>
        <w:t>亩以上，林下经济综合效益达到</w:t>
      </w:r>
      <w:r>
        <w:rPr>
          <w:color w:val="auto"/>
          <w:highlight w:val="none"/>
        </w:rPr>
        <w:t>50</w:t>
      </w:r>
      <w:r>
        <w:rPr>
          <w:rFonts w:hint="eastAsia"/>
          <w:color w:val="auto"/>
          <w:highlight w:val="none"/>
        </w:rPr>
        <w:t>万元以上。</w:t>
      </w:r>
    </w:p>
    <w:p>
      <w:pPr>
        <w:pStyle w:val="4"/>
        <w:ind w:firstLine="643"/>
        <w:rPr>
          <w:color w:val="auto"/>
          <w:highlight w:val="none"/>
        </w:rPr>
      </w:pPr>
      <w:r>
        <w:rPr>
          <w:rFonts w:hint="eastAsia"/>
          <w:color w:val="auto"/>
          <w:highlight w:val="none"/>
        </w:rPr>
        <w:t>三、统筹推进玉米产业高质量发展</w:t>
      </w:r>
    </w:p>
    <w:p>
      <w:pPr>
        <w:ind w:firstLine="640"/>
        <w:rPr>
          <w:color w:val="auto"/>
          <w:highlight w:val="none"/>
        </w:rPr>
      </w:pPr>
      <w:r>
        <w:rPr>
          <w:rFonts w:hint="eastAsia"/>
          <w:color w:val="auto"/>
          <w:highlight w:val="none"/>
        </w:rPr>
        <w:t>统筹推进玉米产业高质量发展，构建玉米产业化现代提升体系，推进粮食产业稳产、保产、高产建设；完善全区玉米生产基础建设，加快培育一批示范带动能力强的标准化玉米种植基地；深化玉米轮作基地建设，打造“玉米—红薯”“玉米—油菜”“玉米大豆”农业轮作示范点；建设玉米产业水肥一体化设施，推行生物有机肥施肥，打造生物防治防控体系，减少化肥农药使用，打造生态绿色玉米种植基地；到2</w:t>
      </w:r>
      <w:r>
        <w:rPr>
          <w:color w:val="auto"/>
          <w:highlight w:val="none"/>
        </w:rPr>
        <w:t>025</w:t>
      </w:r>
      <w:r>
        <w:rPr>
          <w:rFonts w:hint="eastAsia"/>
          <w:color w:val="auto"/>
          <w:highlight w:val="none"/>
        </w:rPr>
        <w:t>年，</w:t>
      </w:r>
      <w:bookmarkStart w:id="71" w:name="_Hlk137546043"/>
      <w:r>
        <w:rPr>
          <w:rFonts w:hint="eastAsia"/>
          <w:color w:val="auto"/>
          <w:highlight w:val="none"/>
        </w:rPr>
        <w:t>新建标准化玉米种植基地1000亩以上，新建高质量玉米轮作基地700亩以上，玉米轮作推广示范点10个，全区玉米种植面积达到1.5万亩以上，年产量达4000吨以上，产业产值达2000万元以上，新增认证绿色、有机、富硒产品2个以上</w:t>
      </w:r>
      <w:bookmarkEnd w:id="71"/>
      <w:r>
        <w:rPr>
          <w:rFonts w:hint="eastAsia"/>
          <w:color w:val="auto"/>
          <w:highlight w:val="none"/>
        </w:rPr>
        <w:t>。</w:t>
      </w:r>
    </w:p>
    <w:p>
      <w:pPr>
        <w:pStyle w:val="4"/>
        <w:ind w:firstLine="643"/>
        <w:rPr>
          <w:color w:val="auto"/>
          <w:highlight w:val="none"/>
        </w:rPr>
      </w:pPr>
      <w:r>
        <w:rPr>
          <w:rFonts w:hint="eastAsia"/>
          <w:color w:val="auto"/>
          <w:highlight w:val="none"/>
        </w:rPr>
        <w:t>四、玉米优质品种推广</w:t>
      </w:r>
    </w:p>
    <w:p>
      <w:pPr>
        <w:ind w:firstLine="640"/>
        <w:rPr>
          <w:color w:val="auto"/>
          <w:highlight w:val="none"/>
        </w:rPr>
      </w:pPr>
      <w:r>
        <w:rPr>
          <w:rFonts w:hint="eastAsia"/>
          <w:color w:val="auto"/>
          <w:highlight w:val="none"/>
        </w:rPr>
        <w:t>加强优质玉米品种推广，构建优品优质推介宣传制度体系，提高全区优种玉米种植覆盖率；加快玉米产业生产全程机械化率建设，培育孵化种植优质玉米品种家庭农场；加强绿都示范区玉米新品种杂交选育、试验示范建设，引进种植新技术，提高玉米产业高产高质建设；深化科技指导，打造技术交流中心，统筹推进冰糖玉米F</w:t>
      </w:r>
      <w:r>
        <w:rPr>
          <w:color w:val="auto"/>
          <w:highlight w:val="none"/>
        </w:rPr>
        <w:t>1</w:t>
      </w:r>
      <w:r>
        <w:rPr>
          <w:rFonts w:hint="eastAsia"/>
          <w:color w:val="auto"/>
          <w:highlight w:val="none"/>
        </w:rPr>
        <w:t>和紫色甜玉米品种的推介</w:t>
      </w:r>
      <w:r>
        <w:rPr>
          <w:rFonts w:hint="eastAsia"/>
          <w:color w:val="auto"/>
          <w:highlight w:val="none"/>
          <w:lang w:eastAsia="zh-CN"/>
        </w:rPr>
        <w:t>宣传</w:t>
      </w:r>
      <w:r>
        <w:rPr>
          <w:rFonts w:hint="eastAsia"/>
          <w:color w:val="auto"/>
          <w:highlight w:val="none"/>
        </w:rPr>
        <w:t>工作，促进良种覆盖率提升，带动地域农业经济发展，助力柳南区乡村振兴；到2</w:t>
      </w:r>
      <w:r>
        <w:rPr>
          <w:color w:val="auto"/>
          <w:highlight w:val="none"/>
        </w:rPr>
        <w:t>025</w:t>
      </w:r>
      <w:r>
        <w:rPr>
          <w:rFonts w:hint="eastAsia"/>
          <w:color w:val="auto"/>
          <w:highlight w:val="none"/>
        </w:rPr>
        <w:t>年，实现</w:t>
      </w:r>
      <w:r>
        <w:rPr>
          <w:rFonts w:hint="eastAsia" w:ascii="方正仿宋_GBK" w:hAnsi="方正仿宋_GBK" w:cs="方正仿宋_GBK"/>
          <w:color w:val="auto"/>
          <w:highlight w:val="none"/>
        </w:rPr>
        <w:t>优质鲜食玉米亩产</w:t>
      </w:r>
      <w:r>
        <w:rPr>
          <w:rFonts w:hint="eastAsia"/>
          <w:color w:val="auto"/>
          <w:highlight w:val="none"/>
        </w:rPr>
        <w:t>11</w:t>
      </w:r>
      <w:r>
        <w:rPr>
          <w:color w:val="auto"/>
          <w:highlight w:val="none"/>
        </w:rPr>
        <w:t>00</w:t>
      </w:r>
      <w:r>
        <w:rPr>
          <w:rFonts w:hint="eastAsia" w:ascii="宋体" w:hAnsi="宋体" w:eastAsia="宋体" w:cs="宋体"/>
          <w:color w:val="auto"/>
          <w:highlight w:val="none"/>
        </w:rPr>
        <w:t>公</w:t>
      </w:r>
      <w:r>
        <w:rPr>
          <w:rFonts w:hint="eastAsia"/>
          <w:color w:val="auto"/>
          <w:highlight w:val="none"/>
        </w:rPr>
        <w:t>斤以上。</w:t>
      </w:r>
    </w:p>
    <w:p>
      <w:pPr>
        <w:pStyle w:val="4"/>
        <w:ind w:firstLine="643"/>
        <w:rPr>
          <w:color w:val="auto"/>
          <w:highlight w:val="none"/>
        </w:rPr>
      </w:pPr>
      <w:r>
        <w:rPr>
          <w:color w:val="auto"/>
          <w:highlight w:val="none"/>
        </w:rPr>
        <w:t>五、提升生猪规模化养殖场设施设备</w:t>
      </w:r>
    </w:p>
    <w:p>
      <w:pPr>
        <w:ind w:firstLine="640"/>
        <w:rPr>
          <w:color w:val="auto"/>
          <w:highlight w:val="none"/>
        </w:rPr>
      </w:pPr>
      <w:r>
        <w:rPr>
          <w:color w:val="auto"/>
          <w:highlight w:val="none"/>
        </w:rPr>
        <w:t>依托</w:t>
      </w:r>
      <w:r>
        <w:rPr>
          <w:rFonts w:hint="eastAsia"/>
          <w:color w:val="auto"/>
          <w:highlight w:val="none"/>
        </w:rPr>
        <w:t>流山生猪养殖示范区，采用现代化全封闭大跨度集约养殖模式，完善生猪养殖基地智能化、绿色化、融合化等建设，加快现代化养殖建设进程，促进柳南区生猪产业从散养、小养、粗养转型升级为规模化、标准化、生态化养殖，实现稳产保供；推进畜禽粪污资源化利用，推进种养结合，鼓励在规模种植基地周边建设农牧循环型畜禽养殖场（户），促进粪肥还田，加强农副产品饲料化利用；构建覆盖养殖、生产加工、仓储物流、终端销售的质量追溯体系，到2025年，打造2个现代化生猪养殖场。</w:t>
      </w:r>
    </w:p>
    <w:p>
      <w:pPr>
        <w:pStyle w:val="4"/>
        <w:ind w:firstLine="643"/>
        <w:rPr>
          <w:color w:val="auto"/>
          <w:highlight w:val="none"/>
        </w:rPr>
      </w:pPr>
      <w:r>
        <w:rPr>
          <w:rFonts w:hint="eastAsia"/>
          <w:color w:val="auto"/>
          <w:highlight w:val="none"/>
        </w:rPr>
        <w:t>六、推动肉牛规模化、标准化养殖</w:t>
      </w:r>
    </w:p>
    <w:p>
      <w:pPr>
        <w:ind w:firstLine="640"/>
        <w:rPr>
          <w:color w:val="auto"/>
          <w:highlight w:val="none"/>
        </w:rPr>
      </w:pPr>
      <w:r>
        <w:rPr>
          <w:rFonts w:hint="eastAsia"/>
          <w:color w:val="auto"/>
          <w:highlight w:val="none"/>
        </w:rPr>
        <w:t>推动肉牛规模化、标准化饲养，到2025年，在洛满镇建设1个大型肉牛养殖基地。建设肉牛规模化、标准化生产体系，保障肉牛品质、养殖效益、产业链产值，实现肉牛产业高质量发展。基地为脱贫户、监测户和一般农户提供统一幼牛、统一饲料配方、统一服务指导、统一疫苗、统一兽药的“五统一”服务，减少脱贫户、监测户和一般农户生产支出。依托洛满镇饲料厂，收购农户秸秆，配制成肉牛饲料，降低肉牛养殖成本，同时提高秸秆资源化利用水平。基地通过土地流转、务工就业、技术帮扶等方式带动一般户增收；不断拓展一般户增收致富渠道，建立农户二次分配机制，每年为村集体经济收入增加固定收益约20万元以上。</w:t>
      </w:r>
    </w:p>
    <w:p>
      <w:pPr>
        <w:pStyle w:val="4"/>
        <w:ind w:firstLine="643"/>
        <w:rPr>
          <w:color w:val="auto"/>
          <w:highlight w:val="none"/>
        </w:rPr>
      </w:pPr>
      <w:r>
        <w:rPr>
          <w:rFonts w:hint="eastAsia"/>
          <w:color w:val="auto"/>
          <w:highlight w:val="none"/>
        </w:rPr>
        <w:t>七、加快培育新型经营主体</w:t>
      </w:r>
    </w:p>
    <w:p>
      <w:pPr>
        <w:ind w:firstLine="640"/>
        <w:rPr>
          <w:color w:val="auto"/>
          <w:highlight w:val="none"/>
        </w:rPr>
      </w:pPr>
      <w:r>
        <w:rPr>
          <w:rFonts w:hint="eastAsia"/>
          <w:color w:val="auto"/>
          <w:highlight w:val="none"/>
        </w:rPr>
        <w:t>柳南区制定出台特色产业新型经营主体培育方法，加大政策扶持力度，加快油茶特色产业新型经营主体培育；充分发挥农业龙头企业带动能力，实行“一带一、一带多”农业产业化联合体运行带动机制，鼓励村集体、种养大户牵头成立农民专业合作社。加快引导培育合作社转型升级，通过政策扶持、以奖代补、折股量化等形式，打造自治区级农民合作社示范社、自治区级示范家庭农场。到2</w:t>
      </w:r>
      <w:r>
        <w:rPr>
          <w:color w:val="auto"/>
          <w:highlight w:val="none"/>
        </w:rPr>
        <w:t>025</w:t>
      </w:r>
      <w:r>
        <w:rPr>
          <w:rFonts w:hint="eastAsia"/>
          <w:color w:val="auto"/>
          <w:highlight w:val="none"/>
        </w:rPr>
        <w:t>年，培育油茶、玉米、生猪、肉牛等新型经营主体</w:t>
      </w:r>
      <w:r>
        <w:rPr>
          <w:color w:val="auto"/>
          <w:highlight w:val="none"/>
        </w:rPr>
        <w:t>4</w:t>
      </w:r>
      <w:r>
        <w:rPr>
          <w:rFonts w:hint="eastAsia"/>
          <w:color w:val="auto"/>
          <w:highlight w:val="none"/>
        </w:rPr>
        <w:t>家，农民专业合作社及家庭农场1</w:t>
      </w:r>
      <w:r>
        <w:rPr>
          <w:color w:val="auto"/>
          <w:highlight w:val="none"/>
        </w:rPr>
        <w:t>5</w:t>
      </w:r>
      <w:r>
        <w:rPr>
          <w:rFonts w:hint="eastAsia"/>
          <w:color w:val="auto"/>
          <w:highlight w:val="none"/>
        </w:rPr>
        <w:t>家，打造自治区级农民合作社示范社</w:t>
      </w:r>
      <w:r>
        <w:rPr>
          <w:color w:val="auto"/>
          <w:highlight w:val="none"/>
        </w:rPr>
        <w:t>2</w:t>
      </w:r>
      <w:r>
        <w:rPr>
          <w:rFonts w:hint="eastAsia"/>
          <w:color w:val="auto"/>
          <w:highlight w:val="none"/>
        </w:rPr>
        <w:t>家，自治区级示范家庭农场1家。</w:t>
      </w:r>
    </w:p>
    <w:p>
      <w:pPr>
        <w:ind w:firstLine="640"/>
        <w:rPr>
          <w:bCs/>
          <w:color w:val="auto"/>
          <w:highlight w:val="none"/>
        </w:rPr>
      </w:pPr>
      <w:r>
        <w:rPr>
          <w:color w:val="auto"/>
          <w:highlight w:val="none"/>
        </w:rPr>
        <w:br w:type="page"/>
      </w:r>
    </w:p>
    <w:p>
      <w:pPr>
        <w:ind w:firstLine="640"/>
        <w:rPr>
          <w:color w:val="auto"/>
          <w:highlight w:val="none"/>
        </w:rPr>
      </w:pPr>
    </w:p>
    <w:p>
      <w:pPr>
        <w:pStyle w:val="2"/>
        <w:rPr>
          <w:color w:val="auto"/>
          <w:highlight w:val="none"/>
        </w:rPr>
      </w:pPr>
      <w:bookmarkStart w:id="72" w:name="_Toc150595453"/>
      <w:r>
        <w:rPr>
          <w:rFonts w:hint="eastAsia"/>
          <w:color w:val="auto"/>
          <w:highlight w:val="none"/>
        </w:rPr>
        <w:t>第七章  加快特色产业高质量发展</w:t>
      </w:r>
      <w:bookmarkEnd w:id="72"/>
    </w:p>
    <w:p>
      <w:pPr>
        <w:ind w:firstLine="640"/>
        <w:rPr>
          <w:color w:val="auto"/>
          <w:highlight w:val="none"/>
        </w:rPr>
      </w:pPr>
    </w:p>
    <w:p>
      <w:pPr>
        <w:pStyle w:val="3"/>
        <w:rPr>
          <w:rFonts w:ascii="Times New Roman" w:hAnsi="Times New Roman"/>
          <w:color w:val="auto"/>
          <w:highlight w:val="none"/>
        </w:rPr>
      </w:pPr>
      <w:bookmarkStart w:id="73" w:name="_Toc137565681"/>
      <w:bookmarkStart w:id="74" w:name="_Toc150595454"/>
      <w:r>
        <w:rPr>
          <w:rFonts w:hint="eastAsia" w:ascii="Times New Roman" w:hAnsi="Times New Roman"/>
          <w:color w:val="auto"/>
          <w:highlight w:val="none"/>
        </w:rPr>
        <w:t>第一节  加快现代农业园区建设</w:t>
      </w:r>
      <w:bookmarkEnd w:id="73"/>
      <w:bookmarkEnd w:id="74"/>
    </w:p>
    <w:p>
      <w:pPr>
        <w:pStyle w:val="4"/>
        <w:ind w:firstLine="643"/>
        <w:rPr>
          <w:color w:val="auto"/>
          <w:highlight w:val="none"/>
        </w:rPr>
      </w:pPr>
      <w:r>
        <w:rPr>
          <w:rFonts w:hint="eastAsia"/>
          <w:color w:val="auto"/>
          <w:highlight w:val="none"/>
        </w:rPr>
        <w:t>一、强化现代化农业园区建设</w:t>
      </w:r>
    </w:p>
    <w:p>
      <w:pPr>
        <w:ind w:firstLine="640"/>
        <w:rPr>
          <w:color w:val="auto"/>
          <w:highlight w:val="none"/>
        </w:rPr>
      </w:pPr>
      <w:r>
        <w:rPr>
          <w:rFonts w:hint="eastAsia"/>
          <w:color w:val="auto"/>
          <w:highlight w:val="none"/>
        </w:rPr>
        <w:t>柳南区坚持因地制宜，种养结合，突出资源优势和产业特点，以柳南（国家级）现代农业产业园为标杆，建设一批现代农业产业园、现代特色农业示范区和产业基地，到2025年力争建成4个市级现代特色农业示范区，4个自治区级现代特色农业示范区，升级1个自治区现代特色农业示范区。促进土地、资本、技术、劳动力等生产要素深度融合，引领全区特色优势农业产业加快发展。柳南区以现代农业园区和产业基地为载体，推进螺蛳粉原材料、家禽、桑蚕、玉米、油茶、生猪、肉牛等产业基地建设和产业链延伸，不断扩大园区和基地规模，提高产业聚集度，使园区和基地内主导产业聚集度达到80%以上。鼓励园区和基地推行生产、加工、商贸流通全产业链开发，实现农产品加工、流通增值，依托园区发展休闲观光农业、生态循环农业，进一步延长农业产业链条，拓展农业多种功能，提升园区经营效益。</w:t>
      </w:r>
    </w:p>
    <w:p>
      <w:pPr>
        <w:pStyle w:val="4"/>
        <w:ind w:firstLine="643"/>
        <w:rPr>
          <w:color w:val="auto"/>
          <w:highlight w:val="none"/>
        </w:rPr>
      </w:pPr>
      <w:r>
        <w:rPr>
          <w:rFonts w:hint="eastAsia"/>
          <w:color w:val="auto"/>
          <w:highlight w:val="none"/>
        </w:rPr>
        <w:t>二、构建农业产业现代化体系</w:t>
      </w:r>
    </w:p>
    <w:p>
      <w:pPr>
        <w:ind w:firstLine="643"/>
        <w:rPr>
          <w:b/>
          <w:bCs/>
          <w:color w:val="auto"/>
          <w:highlight w:val="none"/>
        </w:rPr>
      </w:pPr>
      <w:r>
        <w:rPr>
          <w:rFonts w:hint="eastAsia"/>
          <w:b/>
          <w:bCs/>
          <w:color w:val="auto"/>
          <w:highlight w:val="none"/>
        </w:rPr>
        <w:t>（一）</w:t>
      </w:r>
      <w:r>
        <w:rPr>
          <w:b/>
          <w:bCs/>
          <w:color w:val="auto"/>
          <w:highlight w:val="none"/>
        </w:rPr>
        <w:t>推进农业供给侧结构性改革，构建现代农业产业体系</w:t>
      </w:r>
    </w:p>
    <w:p>
      <w:pPr>
        <w:ind w:firstLine="640"/>
        <w:rPr>
          <w:color w:val="auto"/>
          <w:highlight w:val="none"/>
        </w:rPr>
      </w:pPr>
      <w:r>
        <w:rPr>
          <w:color w:val="auto"/>
          <w:highlight w:val="none"/>
        </w:rPr>
        <w:t>以市场需求为导向，调优、调高、调精农业产业。</w:t>
      </w:r>
      <w:r>
        <w:rPr>
          <w:rFonts w:hint="eastAsia"/>
          <w:color w:val="auto"/>
          <w:highlight w:val="none"/>
        </w:rPr>
        <w:t>柳南区</w:t>
      </w:r>
      <w:r>
        <w:rPr>
          <w:color w:val="auto"/>
          <w:highlight w:val="none"/>
        </w:rPr>
        <w:t>重点推进</w:t>
      </w:r>
      <w:r>
        <w:rPr>
          <w:rFonts w:hint="eastAsia"/>
          <w:color w:val="auto"/>
          <w:highlight w:val="none"/>
        </w:rPr>
        <w:t>螺蛳粉原材料</w:t>
      </w:r>
      <w:r>
        <w:rPr>
          <w:color w:val="auto"/>
          <w:highlight w:val="none"/>
        </w:rPr>
        <w:t>结构调整，实行土地综合整治，推进生态种养结合。</w:t>
      </w:r>
      <w:r>
        <w:rPr>
          <w:rFonts w:hint="eastAsia"/>
          <w:color w:val="auto"/>
          <w:highlight w:val="none"/>
        </w:rPr>
        <w:t>并</w:t>
      </w:r>
      <w:r>
        <w:rPr>
          <w:color w:val="auto"/>
          <w:highlight w:val="none"/>
        </w:rPr>
        <w:t>大力发展农产品加工业，</w:t>
      </w:r>
      <w:r>
        <w:rPr>
          <w:rFonts w:hint="eastAsia"/>
          <w:color w:val="auto"/>
          <w:highlight w:val="none"/>
        </w:rPr>
        <w:t>力争农产品加工业与农业总产值比达到2.8:1</w:t>
      </w:r>
      <w:r>
        <w:rPr>
          <w:color w:val="auto"/>
          <w:highlight w:val="none"/>
        </w:rPr>
        <w:t>。</w:t>
      </w:r>
    </w:p>
    <w:p>
      <w:pPr>
        <w:ind w:firstLine="643"/>
        <w:rPr>
          <w:b/>
          <w:bCs/>
          <w:color w:val="auto"/>
          <w:highlight w:val="none"/>
        </w:rPr>
      </w:pPr>
      <w:r>
        <w:rPr>
          <w:rFonts w:hint="eastAsia"/>
          <w:b/>
          <w:bCs/>
          <w:color w:val="auto"/>
          <w:highlight w:val="none"/>
        </w:rPr>
        <w:t>（二）</w:t>
      </w:r>
      <w:r>
        <w:rPr>
          <w:b/>
          <w:bCs/>
          <w:color w:val="auto"/>
          <w:highlight w:val="none"/>
        </w:rPr>
        <w:t>强化物质技术装备支撑，构建现代农业生产体系</w:t>
      </w:r>
    </w:p>
    <w:p>
      <w:pPr>
        <w:ind w:firstLine="640"/>
        <w:rPr>
          <w:color w:val="auto"/>
          <w:highlight w:val="none"/>
        </w:rPr>
      </w:pPr>
      <w:r>
        <w:rPr>
          <w:rFonts w:hint="eastAsia"/>
          <w:color w:val="auto"/>
          <w:highlight w:val="none"/>
        </w:rPr>
        <w:t>全区要坚持</w:t>
      </w:r>
      <w:r>
        <w:rPr>
          <w:color w:val="auto"/>
          <w:highlight w:val="none"/>
        </w:rPr>
        <w:t>用现代设施、装备、技术手段武装农业，加快发展设施农业、工厂化农业，提高农业良种化、机械化、科技化、信息化、标准化水平，加强农业综合生产能力建设，建立现代农业产业科技创新体系，研发推广节本降耗、绿色增产、提质增效和循环利用的技术模式，打好农业面源污染防治攻坚战，着力提升农产品质量安全水平。</w:t>
      </w:r>
    </w:p>
    <w:p>
      <w:pPr>
        <w:ind w:firstLine="643"/>
        <w:rPr>
          <w:b/>
          <w:bCs/>
          <w:color w:val="auto"/>
          <w:highlight w:val="none"/>
        </w:rPr>
      </w:pPr>
      <w:r>
        <w:rPr>
          <w:rFonts w:hint="eastAsia"/>
          <w:b/>
          <w:bCs/>
          <w:color w:val="auto"/>
          <w:highlight w:val="none"/>
        </w:rPr>
        <w:t>（三）</w:t>
      </w:r>
      <w:r>
        <w:rPr>
          <w:b/>
          <w:bCs/>
          <w:color w:val="auto"/>
          <w:highlight w:val="none"/>
        </w:rPr>
        <w:t>发展适度规模经营，构建现代农业经营体系</w:t>
      </w:r>
    </w:p>
    <w:p>
      <w:pPr>
        <w:ind w:firstLine="640"/>
        <w:rPr>
          <w:color w:val="auto"/>
          <w:highlight w:val="none"/>
        </w:rPr>
      </w:pPr>
      <w:r>
        <w:rPr>
          <w:rFonts w:hint="eastAsia"/>
          <w:color w:val="auto"/>
          <w:highlight w:val="none"/>
        </w:rPr>
        <w:t>柳南区不断</w:t>
      </w:r>
      <w:r>
        <w:rPr>
          <w:color w:val="auto"/>
          <w:highlight w:val="none"/>
        </w:rPr>
        <w:t>推动家庭经营、集体经营、合作经营和企业经营共同发展，提高农业经营的集约化、规模化、组织化、社会化、产业化水平。重点培育新型农业经营主体和新型职业农民，发展农业生产性服务业，探索多种形式的适度规模经营。</w:t>
      </w:r>
    </w:p>
    <w:p>
      <w:pPr>
        <w:pStyle w:val="4"/>
        <w:ind w:firstLine="643"/>
        <w:rPr>
          <w:color w:val="auto"/>
          <w:highlight w:val="none"/>
        </w:rPr>
      </w:pPr>
      <w:r>
        <w:rPr>
          <w:rFonts w:hint="eastAsia"/>
          <w:color w:val="auto"/>
          <w:highlight w:val="none"/>
        </w:rPr>
        <w:t>三、农业产业化集群升级建设</w:t>
      </w:r>
    </w:p>
    <w:p>
      <w:pPr>
        <w:ind w:firstLine="643"/>
        <w:rPr>
          <w:b/>
          <w:bCs/>
          <w:color w:val="auto"/>
          <w:highlight w:val="none"/>
        </w:rPr>
      </w:pPr>
      <w:r>
        <w:rPr>
          <w:rFonts w:hint="eastAsia"/>
          <w:b/>
          <w:bCs/>
          <w:color w:val="auto"/>
          <w:highlight w:val="none"/>
        </w:rPr>
        <w:t>（一）扩大基地种养规模</w:t>
      </w:r>
    </w:p>
    <w:p>
      <w:pPr>
        <w:ind w:firstLine="640"/>
        <w:rPr>
          <w:color w:val="auto"/>
          <w:highlight w:val="none"/>
        </w:rPr>
      </w:pPr>
      <w:r>
        <w:rPr>
          <w:rFonts w:hint="eastAsia"/>
          <w:color w:val="auto"/>
          <w:highlight w:val="none"/>
        </w:rPr>
        <w:t>柳南区以螺蛳粉原材料为主导产业，建设农业产业化集群，壮大产业群“量”与“质”，重点扩大优质稻、竹笋、木耳、豆角、辣椒等原材料基地种植规模，同时抓好家禽、桑蚕、玉米、油茶、生猪、肉牛等特色基地建设。</w:t>
      </w:r>
    </w:p>
    <w:p>
      <w:pPr>
        <w:ind w:firstLine="643"/>
        <w:rPr>
          <w:b/>
          <w:bCs/>
          <w:color w:val="auto"/>
          <w:highlight w:val="none"/>
        </w:rPr>
      </w:pPr>
      <w:r>
        <w:rPr>
          <w:rFonts w:hint="eastAsia"/>
          <w:b/>
          <w:bCs/>
          <w:color w:val="auto"/>
          <w:highlight w:val="none"/>
        </w:rPr>
        <w:t>（二）提升科技支撑力度</w:t>
      </w:r>
    </w:p>
    <w:p>
      <w:pPr>
        <w:ind w:firstLine="640"/>
        <w:rPr>
          <w:color w:val="auto"/>
          <w:highlight w:val="none"/>
        </w:rPr>
      </w:pPr>
      <w:r>
        <w:rPr>
          <w:rFonts w:hint="eastAsia"/>
          <w:color w:val="auto"/>
          <w:highlight w:val="none"/>
        </w:rPr>
        <w:t>鼓励</w:t>
      </w:r>
      <w:r>
        <w:rPr>
          <w:color w:val="auto"/>
          <w:highlight w:val="none"/>
        </w:rPr>
        <w:t>企业积极与高等院校、行业协会组织以及科研院所构建长期、稳定的合作关系，积极与生物农药、有机化肥、农产品包装、贸易、销售等相关产业建立长期、稳定的合作关系，拓宽产业发展的纵深，实现生产技术、销售渠道以及各类资源的共享。</w:t>
      </w:r>
    </w:p>
    <w:p>
      <w:pPr>
        <w:ind w:firstLine="643"/>
        <w:rPr>
          <w:b/>
          <w:bCs/>
          <w:color w:val="auto"/>
          <w:highlight w:val="none"/>
        </w:rPr>
      </w:pPr>
      <w:r>
        <w:rPr>
          <w:rFonts w:hint="eastAsia"/>
          <w:b/>
          <w:bCs/>
          <w:color w:val="auto"/>
          <w:highlight w:val="none"/>
        </w:rPr>
        <w:t>（三）打造农业产业化集群</w:t>
      </w:r>
    </w:p>
    <w:p>
      <w:pPr>
        <w:ind w:firstLine="640"/>
        <w:rPr>
          <w:color w:val="auto"/>
          <w:highlight w:val="none"/>
        </w:rPr>
      </w:pPr>
      <w:r>
        <w:rPr>
          <w:rFonts w:hint="eastAsia"/>
          <w:color w:val="auto"/>
          <w:highlight w:val="none"/>
        </w:rPr>
        <w:t>打造以农产品种植、养殖与加工为主的农业产业化集群，依托螺蛳粉原材料产业集群为基础，示范带动其他乡村振兴特色产业集群建设，加大扶持农业重点龙头企业扶持力度，通过发展订单农业基地和农产品加工，拉长产业链条，全面推行“公司</w:t>
      </w:r>
      <w:r>
        <w:rPr>
          <w:rFonts w:hint="eastAsia" w:cs="Calibri"/>
          <w:color w:val="auto"/>
          <w:highlight w:val="none"/>
        </w:rPr>
        <w:t>+</w:t>
      </w:r>
      <w:r>
        <w:rPr>
          <w:rFonts w:hint="eastAsia"/>
          <w:color w:val="auto"/>
          <w:highlight w:val="none"/>
        </w:rPr>
        <w:t>基地</w:t>
      </w:r>
      <w:r>
        <w:rPr>
          <w:rFonts w:hint="eastAsia" w:cs="Calibri"/>
          <w:color w:val="auto"/>
          <w:highlight w:val="none"/>
        </w:rPr>
        <w:t>+</w:t>
      </w:r>
      <w:r>
        <w:rPr>
          <w:rFonts w:hint="eastAsia"/>
          <w:color w:val="auto"/>
          <w:highlight w:val="none"/>
        </w:rPr>
        <w:t>农户</w:t>
      </w:r>
      <w:r>
        <w:rPr>
          <w:rFonts w:hint="eastAsia" w:cs="Calibri"/>
          <w:color w:val="auto"/>
          <w:highlight w:val="none"/>
        </w:rPr>
        <w:t>+</w:t>
      </w:r>
      <w:r>
        <w:rPr>
          <w:rFonts w:hint="eastAsia"/>
          <w:color w:val="auto"/>
          <w:highlight w:val="none"/>
        </w:rPr>
        <w:t>市场”的运行模式，进一步完善基地供应等配套设施建设。</w:t>
      </w:r>
    </w:p>
    <w:p>
      <w:pPr>
        <w:pStyle w:val="4"/>
        <w:ind w:firstLine="643"/>
        <w:rPr>
          <w:color w:val="auto"/>
          <w:highlight w:val="none"/>
        </w:rPr>
      </w:pPr>
      <w:r>
        <w:rPr>
          <w:rFonts w:hint="eastAsia"/>
          <w:color w:val="auto"/>
          <w:highlight w:val="none"/>
        </w:rPr>
        <w:t>四、加大园区资源整合力度</w:t>
      </w:r>
    </w:p>
    <w:p>
      <w:pPr>
        <w:ind w:firstLine="640"/>
        <w:rPr>
          <w:color w:val="auto"/>
          <w:highlight w:val="none"/>
        </w:rPr>
      </w:pPr>
      <w:r>
        <w:rPr>
          <w:rFonts w:hint="eastAsia"/>
          <w:color w:val="auto"/>
          <w:highlight w:val="none"/>
        </w:rPr>
        <w:t>柳南区不断推动人才、资金、科技、土地、金融等各类要素资源向园区集聚，建立横向到边纵向到底协调整合机制，各类资源资产高效配置。</w:t>
      </w:r>
    </w:p>
    <w:p>
      <w:pPr>
        <w:ind w:firstLine="643"/>
        <w:rPr>
          <w:b/>
          <w:bCs/>
          <w:color w:val="auto"/>
          <w:highlight w:val="none"/>
        </w:rPr>
      </w:pPr>
      <w:r>
        <w:rPr>
          <w:rFonts w:hint="eastAsia"/>
          <w:b/>
          <w:bCs/>
          <w:color w:val="auto"/>
          <w:highlight w:val="none"/>
        </w:rPr>
        <w:t>（一）加大政策扶持</w:t>
      </w:r>
    </w:p>
    <w:p>
      <w:pPr>
        <w:ind w:firstLine="640"/>
        <w:rPr>
          <w:color w:val="auto"/>
          <w:highlight w:val="none"/>
        </w:rPr>
      </w:pPr>
      <w:r>
        <w:rPr>
          <w:rFonts w:hint="eastAsia"/>
          <w:color w:val="auto"/>
          <w:highlight w:val="none"/>
        </w:rPr>
        <w:t>用好柳南区乡村振兴激励政策，整合涉农资金，引导各类人才、</w:t>
      </w:r>
      <w:r>
        <w:rPr>
          <w:rFonts w:hint="eastAsia"/>
          <w:color w:val="auto"/>
          <w:spacing w:val="-6"/>
          <w:highlight w:val="none"/>
        </w:rPr>
        <w:t>创新团队、科研机构等入驻园区，鼓励其在园区创新创业和发展壮大。</w:t>
      </w:r>
    </w:p>
    <w:p>
      <w:pPr>
        <w:ind w:firstLine="643"/>
        <w:rPr>
          <w:b/>
          <w:bCs/>
          <w:color w:val="auto"/>
          <w:highlight w:val="none"/>
        </w:rPr>
      </w:pPr>
      <w:r>
        <w:rPr>
          <w:rFonts w:hint="eastAsia"/>
          <w:b/>
          <w:bCs/>
          <w:color w:val="auto"/>
          <w:highlight w:val="none"/>
        </w:rPr>
        <w:t>（二）加强金融服务</w:t>
      </w:r>
    </w:p>
    <w:p>
      <w:pPr>
        <w:ind w:firstLine="640"/>
        <w:rPr>
          <w:color w:val="auto"/>
          <w:highlight w:val="none"/>
        </w:rPr>
      </w:pPr>
      <w:r>
        <w:rPr>
          <w:rFonts w:hint="eastAsia"/>
          <w:color w:val="auto"/>
          <w:highlight w:val="none"/>
        </w:rPr>
        <w:t>深化园区金融服务，引导更多金融机构入驻园区，持续推广“</w:t>
      </w:r>
      <w:r>
        <w:rPr>
          <w:color w:val="auto"/>
          <w:highlight w:val="none"/>
        </w:rPr>
        <w:t>农业合作贷</w:t>
      </w:r>
      <w:r>
        <w:rPr>
          <w:rFonts w:hint="eastAsia"/>
          <w:color w:val="auto"/>
          <w:highlight w:val="none"/>
        </w:rPr>
        <w:t>”“</w:t>
      </w:r>
      <w:r>
        <w:rPr>
          <w:color w:val="auto"/>
          <w:highlight w:val="none"/>
        </w:rPr>
        <w:t>抵押e贷</w:t>
      </w:r>
      <w:r>
        <w:rPr>
          <w:rFonts w:hint="eastAsia"/>
          <w:color w:val="auto"/>
          <w:highlight w:val="none"/>
        </w:rPr>
        <w:t>”“</w:t>
      </w:r>
      <w:r>
        <w:rPr>
          <w:color w:val="auto"/>
          <w:highlight w:val="none"/>
        </w:rPr>
        <w:t>微捷贷</w:t>
      </w:r>
      <w:r>
        <w:rPr>
          <w:rFonts w:hint="eastAsia"/>
          <w:color w:val="auto"/>
          <w:highlight w:val="none"/>
        </w:rPr>
        <w:t>”等信用类支农金融产品，利用金融杠杆助力做大做强柳南区乡村振兴特色产业。完善农业保险政策，争取螺蛳粉原材料、家禽、桑蚕等乡村振兴特色产业实现农业保险全覆盖，推广农业保险模式，提升农业生产抵御自然风险和市场风险能力。</w:t>
      </w:r>
    </w:p>
    <w:p>
      <w:pPr>
        <w:ind w:firstLine="643"/>
        <w:rPr>
          <w:b/>
          <w:bCs/>
          <w:color w:val="auto"/>
          <w:highlight w:val="none"/>
        </w:rPr>
      </w:pPr>
      <w:r>
        <w:rPr>
          <w:rFonts w:hint="eastAsia"/>
          <w:b/>
          <w:bCs/>
          <w:color w:val="auto"/>
          <w:highlight w:val="none"/>
        </w:rPr>
        <w:t>（三）推动城乡融合发展</w:t>
      </w:r>
    </w:p>
    <w:p>
      <w:pPr>
        <w:ind w:firstLine="640"/>
        <w:rPr>
          <w:color w:val="auto"/>
          <w:highlight w:val="none"/>
        </w:rPr>
      </w:pPr>
      <w:r>
        <w:rPr>
          <w:rFonts w:hint="eastAsia"/>
          <w:color w:val="auto"/>
          <w:highlight w:val="none"/>
        </w:rPr>
        <w:t>发挥园区主导产业优势，推进园区与城镇、乡村的高效融合发展。以市场为导向，引导社会资本通过PPP、BOT等模式，深度挖掘园区内乡土人文、田园乡村、青山绿水等资源，探索“园区+林盘”“园区+绿道”等模式，培育园区新经济、新业态，拓展产业链和提升价值链，把园区、绿道、农田、林盘等串联起来，形成“园区+”新消费场景，打造“推窗见田、开门见绿”的公园式园区。</w:t>
      </w:r>
    </w:p>
    <w:p>
      <w:pPr>
        <w:ind w:firstLine="640"/>
        <w:rPr>
          <w:color w:val="auto"/>
          <w:highlight w:val="none"/>
        </w:rPr>
      </w:pPr>
      <w:bookmarkStart w:id="75" w:name="_Toc137565682"/>
    </w:p>
    <w:p>
      <w:pPr>
        <w:pStyle w:val="3"/>
        <w:ind w:firstLine="640"/>
        <w:rPr>
          <w:rFonts w:ascii="Times New Roman" w:hAnsi="Times New Roman"/>
          <w:color w:val="auto"/>
          <w:highlight w:val="none"/>
        </w:rPr>
      </w:pPr>
      <w:bookmarkStart w:id="76" w:name="_Toc150595455"/>
      <w:r>
        <w:rPr>
          <w:rFonts w:hint="eastAsia" w:ascii="Times New Roman" w:hAnsi="Times New Roman"/>
          <w:color w:val="auto"/>
          <w:highlight w:val="none"/>
        </w:rPr>
        <w:t>第二节  培育农业新型经营主体</w:t>
      </w:r>
      <w:bookmarkEnd w:id="75"/>
      <w:bookmarkEnd w:id="76"/>
    </w:p>
    <w:p>
      <w:pPr>
        <w:pStyle w:val="4"/>
        <w:ind w:firstLine="643"/>
        <w:rPr>
          <w:color w:val="auto"/>
          <w:highlight w:val="none"/>
        </w:rPr>
      </w:pPr>
      <w:r>
        <w:rPr>
          <w:rFonts w:hint="eastAsia"/>
          <w:color w:val="auto"/>
          <w:highlight w:val="none"/>
        </w:rPr>
        <w:t>一、培育壮大新型农业经营主体</w:t>
      </w:r>
    </w:p>
    <w:p>
      <w:pPr>
        <w:ind w:firstLine="643"/>
        <w:rPr>
          <w:color w:val="auto"/>
          <w:highlight w:val="none"/>
        </w:rPr>
      </w:pPr>
      <w:r>
        <w:rPr>
          <w:rFonts w:hint="eastAsia"/>
          <w:b/>
          <w:bCs/>
          <w:color w:val="auto"/>
          <w:highlight w:val="none"/>
        </w:rPr>
        <w:t>（一）培育壮大新型经营主体，加快经营体系现代化</w:t>
      </w:r>
    </w:p>
    <w:p>
      <w:pPr>
        <w:ind w:firstLine="640"/>
        <w:rPr>
          <w:color w:val="auto"/>
          <w:highlight w:val="none"/>
        </w:rPr>
      </w:pPr>
      <w:r>
        <w:rPr>
          <w:rFonts w:hint="eastAsia"/>
          <w:color w:val="auto"/>
          <w:highlight w:val="none"/>
        </w:rPr>
        <w:t>柳南区重点培育家庭农场、农民合作社、社会化服务组织、龙头企业等农业新型经营主体。到2025年，通过建链、补链、延链、强链，培育市级以上龙头企业达到12家、农民专业合作社达到300家、家庭农场达到200个，实现小农户与现代农业发展有效衔接。</w:t>
      </w:r>
    </w:p>
    <w:p>
      <w:pPr>
        <w:ind w:firstLine="643"/>
        <w:rPr>
          <w:b/>
          <w:bCs/>
          <w:color w:val="auto"/>
          <w:highlight w:val="none"/>
        </w:rPr>
      </w:pPr>
      <w:r>
        <w:rPr>
          <w:rFonts w:hint="eastAsia"/>
          <w:b/>
          <w:bCs/>
          <w:color w:val="auto"/>
          <w:highlight w:val="none"/>
        </w:rPr>
        <w:t>（二）引导和支持新型经营主体</w:t>
      </w:r>
    </w:p>
    <w:p>
      <w:pPr>
        <w:ind w:firstLine="640"/>
        <w:rPr>
          <w:color w:val="auto"/>
          <w:highlight w:val="none"/>
        </w:rPr>
      </w:pPr>
      <w:r>
        <w:rPr>
          <w:color w:val="auto"/>
          <w:highlight w:val="none"/>
        </w:rPr>
        <w:t>引导和支持家庭农场、农民合作社、农业产业化龙头企业等新型农业经营主体健全规章制度、完善运行机制、规范利益分配、增强服务功能、加大科技创新、强化品牌建设和提升农产品质量安全水平</w:t>
      </w:r>
      <w:r>
        <w:rPr>
          <w:rFonts w:hint="eastAsia"/>
          <w:color w:val="auto"/>
          <w:highlight w:val="none"/>
        </w:rPr>
        <w:t>。</w:t>
      </w:r>
    </w:p>
    <w:p>
      <w:pPr>
        <w:ind w:firstLine="643"/>
        <w:rPr>
          <w:b/>
          <w:bCs/>
          <w:color w:val="auto"/>
          <w:highlight w:val="none"/>
        </w:rPr>
      </w:pPr>
      <w:r>
        <w:rPr>
          <w:rFonts w:hint="eastAsia"/>
          <w:b/>
          <w:bCs/>
          <w:color w:val="auto"/>
          <w:highlight w:val="none"/>
        </w:rPr>
        <w:t>（三）组建农业产业化联合体</w:t>
      </w:r>
    </w:p>
    <w:p>
      <w:pPr>
        <w:ind w:firstLine="640"/>
        <w:rPr>
          <w:color w:val="auto"/>
          <w:highlight w:val="none"/>
        </w:rPr>
      </w:pPr>
      <w:r>
        <w:rPr>
          <w:rFonts w:hint="eastAsia"/>
          <w:color w:val="auto"/>
          <w:highlight w:val="none"/>
        </w:rPr>
        <w:t>引导龙头企业在互利共赢基础上，汇集种养、加工、物流、销售等产业链各环节农业经营主体，共同制定章程，明确权利义务，确定运行机制，组建农业产业化联合体。分别发挥专业大户和家庭农场搞生产、农民合作社搞服务、龙头企业搞加工营销的比较效益，整合区域品牌、科技等要素，实现资源共享。柳南区重点扶持培育善元、川香坊、添翼、觉味之城、实隆、宏华、桂禽、绿都、金优缘、新希望等农业生产龙头与其他新型经营主体组建农业产业化联合体。</w:t>
      </w:r>
    </w:p>
    <w:p>
      <w:pPr>
        <w:pStyle w:val="4"/>
        <w:ind w:firstLine="643"/>
        <w:rPr>
          <w:color w:val="auto"/>
          <w:highlight w:val="none"/>
        </w:rPr>
      </w:pPr>
      <w:r>
        <w:rPr>
          <w:rFonts w:hint="eastAsia"/>
          <w:color w:val="auto"/>
          <w:highlight w:val="none"/>
        </w:rPr>
        <w:t>二、发展多种形式适度规模经营</w:t>
      </w:r>
    </w:p>
    <w:p>
      <w:pPr>
        <w:ind w:firstLine="640"/>
        <w:rPr>
          <w:color w:val="auto"/>
          <w:highlight w:val="none"/>
        </w:rPr>
      </w:pPr>
      <w:r>
        <w:rPr>
          <w:color w:val="auto"/>
          <w:highlight w:val="none"/>
        </w:rPr>
        <w:t>加快推进土地等农村集体资源性资产确权登记颁证、经营性资产折股量化、非经营性资产集体统一营运管理等改革。</w:t>
      </w:r>
      <w:r>
        <w:rPr>
          <w:rFonts w:hint="eastAsia"/>
          <w:color w:val="auto"/>
          <w:highlight w:val="none"/>
        </w:rPr>
        <w:t>各乡镇结合当地实际，</w:t>
      </w:r>
      <w:r>
        <w:rPr>
          <w:color w:val="auto"/>
          <w:highlight w:val="none"/>
        </w:rPr>
        <w:t>积极推广土地股份合作、代耕代作、联耕联作、土地托管等土地流转和规模经营方式，鼓励支持农户承包地向专业大户、家庭农场、农民专业合作社等新型农业经营主体流转。支持农业产业化龙头企业和农民合作社开展农产品加工流通和社会化服务，带动农户发展规模经营。不断优化农村市场环境，鼓励各类社会资本投向农业农村，发展农村现代种养业和多种经营。</w:t>
      </w:r>
    </w:p>
    <w:p>
      <w:pPr>
        <w:pStyle w:val="4"/>
        <w:ind w:firstLine="643"/>
        <w:rPr>
          <w:color w:val="auto"/>
          <w:highlight w:val="none"/>
        </w:rPr>
      </w:pPr>
      <w:r>
        <w:rPr>
          <w:rFonts w:hint="eastAsia"/>
          <w:color w:val="auto"/>
          <w:highlight w:val="none"/>
        </w:rPr>
        <w:t>三、构建新型农业社会化服务体系</w:t>
      </w:r>
    </w:p>
    <w:p>
      <w:pPr>
        <w:ind w:firstLine="643"/>
        <w:rPr>
          <w:color w:val="auto"/>
          <w:szCs w:val="32"/>
          <w:highlight w:val="none"/>
        </w:rPr>
      </w:pPr>
      <w:r>
        <w:rPr>
          <w:rFonts w:hint="eastAsia"/>
          <w:b/>
          <w:bCs/>
          <w:color w:val="auto"/>
          <w:szCs w:val="32"/>
          <w:highlight w:val="none"/>
        </w:rPr>
        <w:t>（一）大力培育农业服务主体</w:t>
      </w:r>
    </w:p>
    <w:p>
      <w:pPr>
        <w:ind w:firstLine="640"/>
        <w:rPr>
          <w:color w:val="auto"/>
          <w:highlight w:val="none"/>
        </w:rPr>
      </w:pPr>
      <w:r>
        <w:rPr>
          <w:color w:val="auto"/>
          <w:highlight w:val="none"/>
        </w:rPr>
        <w:t>按照主体多元、形式多样、服务专业、竞争充分的原则，加快培育各类服务组织</w:t>
      </w:r>
      <w:r>
        <w:rPr>
          <w:rFonts w:hint="eastAsia"/>
          <w:color w:val="auto"/>
          <w:highlight w:val="none"/>
        </w:rPr>
        <w:t>，不断扩大</w:t>
      </w:r>
      <w:r>
        <w:rPr>
          <w:color w:val="auto"/>
          <w:highlight w:val="none"/>
        </w:rPr>
        <w:t>农技、植保、农机、劳务等专业服务队伍，推进</w:t>
      </w:r>
      <w:r>
        <w:rPr>
          <w:rFonts w:hint="eastAsia"/>
          <w:color w:val="auto"/>
          <w:highlight w:val="none"/>
        </w:rPr>
        <w:t>乡村振兴特色</w:t>
      </w:r>
      <w:r>
        <w:rPr>
          <w:color w:val="auto"/>
          <w:highlight w:val="none"/>
        </w:rPr>
        <w:t>产业社会化服务实现全程覆盖。</w:t>
      </w:r>
    </w:p>
    <w:p>
      <w:pPr>
        <w:ind w:firstLine="643"/>
        <w:rPr>
          <w:b/>
          <w:bCs/>
          <w:color w:val="auto"/>
          <w:szCs w:val="32"/>
          <w:highlight w:val="none"/>
        </w:rPr>
      </w:pPr>
      <w:r>
        <w:rPr>
          <w:rFonts w:hint="eastAsia"/>
          <w:b/>
          <w:bCs/>
          <w:color w:val="auto"/>
          <w:highlight w:val="none"/>
        </w:rPr>
        <w:t>（二）</w:t>
      </w:r>
      <w:r>
        <w:rPr>
          <w:rFonts w:hint="eastAsia"/>
          <w:b/>
          <w:bCs/>
          <w:color w:val="auto"/>
          <w:szCs w:val="32"/>
          <w:highlight w:val="none"/>
        </w:rPr>
        <w:t>加强农业经济综合服务建设</w:t>
      </w:r>
    </w:p>
    <w:p>
      <w:pPr>
        <w:ind w:firstLine="640"/>
        <w:rPr>
          <w:color w:val="auto"/>
          <w:szCs w:val="32"/>
          <w:highlight w:val="none"/>
        </w:rPr>
      </w:pPr>
      <w:r>
        <w:rPr>
          <w:rFonts w:hint="eastAsia"/>
          <w:color w:val="auto"/>
          <w:szCs w:val="32"/>
          <w:highlight w:val="none"/>
        </w:rPr>
        <w:t>初步构建土地承包纠纷调解仲裁体系，为各类新型农业经营主体按照市场化机制流转获得农村土地搭建平台。</w:t>
      </w:r>
    </w:p>
    <w:p>
      <w:pPr>
        <w:ind w:firstLine="643"/>
        <w:rPr>
          <w:color w:val="auto"/>
          <w:szCs w:val="32"/>
          <w:highlight w:val="none"/>
        </w:rPr>
      </w:pPr>
      <w:r>
        <w:rPr>
          <w:rFonts w:hint="eastAsia"/>
          <w:b/>
          <w:bCs/>
          <w:color w:val="auto"/>
          <w:szCs w:val="32"/>
          <w:highlight w:val="none"/>
        </w:rPr>
        <w:t>（三）加强农业经营服务建设</w:t>
      </w:r>
    </w:p>
    <w:p>
      <w:pPr>
        <w:ind w:firstLine="640"/>
        <w:rPr>
          <w:color w:val="auto"/>
          <w:highlight w:val="none"/>
        </w:rPr>
      </w:pPr>
      <w:r>
        <w:rPr>
          <w:rFonts w:hint="eastAsia"/>
          <w:color w:val="auto"/>
          <w:szCs w:val="32"/>
          <w:highlight w:val="none"/>
        </w:rPr>
        <w:t>采取政府订购、定向委托、奖励补助等方式，</w:t>
      </w:r>
      <w:r>
        <w:rPr>
          <w:rFonts w:hint="eastAsia"/>
          <w:bCs/>
          <w:color w:val="auto"/>
          <w:highlight w:val="none"/>
        </w:rPr>
        <w:t>围绕乡村振兴特色产业产前、产中、产后各环节，积极开展农资供应、农机作业、技术指导、病虫防治、市场信息、农产品加工、农产品流通等专业化服务，以服务规模化带动生产规模化。</w:t>
      </w:r>
    </w:p>
    <w:p>
      <w:pPr>
        <w:ind w:firstLine="640"/>
        <w:rPr>
          <w:color w:val="auto"/>
          <w:highlight w:val="none"/>
        </w:rPr>
      </w:pPr>
    </w:p>
    <w:p>
      <w:pPr>
        <w:pStyle w:val="3"/>
        <w:ind w:firstLine="640"/>
        <w:rPr>
          <w:rFonts w:ascii="Times New Roman" w:hAnsi="Times New Roman"/>
          <w:color w:val="auto"/>
          <w:highlight w:val="none"/>
        </w:rPr>
      </w:pPr>
      <w:bookmarkStart w:id="77" w:name="_Toc150595456"/>
      <w:bookmarkStart w:id="78" w:name="_Toc137565683"/>
      <w:r>
        <w:rPr>
          <w:rFonts w:hint="eastAsia" w:ascii="Times New Roman" w:hAnsi="Times New Roman"/>
          <w:color w:val="auto"/>
          <w:highlight w:val="none"/>
        </w:rPr>
        <w:t>第三节  健全完善联农带农机制</w:t>
      </w:r>
      <w:bookmarkEnd w:id="77"/>
      <w:bookmarkEnd w:id="78"/>
    </w:p>
    <w:p>
      <w:pPr>
        <w:pStyle w:val="4"/>
        <w:ind w:firstLine="643"/>
        <w:rPr>
          <w:color w:val="auto"/>
          <w:highlight w:val="none"/>
        </w:rPr>
      </w:pPr>
      <w:r>
        <w:rPr>
          <w:rFonts w:hint="eastAsia"/>
          <w:color w:val="auto"/>
          <w:highlight w:val="none"/>
        </w:rPr>
        <w:t>一、务工就业模式</w:t>
      </w:r>
    </w:p>
    <w:p>
      <w:pPr>
        <w:ind w:firstLine="640"/>
        <w:rPr>
          <w:rFonts w:eastAsia="宋体"/>
          <w:color w:val="auto"/>
          <w:szCs w:val="32"/>
          <w:highlight w:val="none"/>
        </w:rPr>
      </w:pPr>
      <w:r>
        <w:rPr>
          <w:rFonts w:hint="eastAsia"/>
          <w:color w:val="auto"/>
          <w:highlight w:val="none"/>
        </w:rPr>
        <w:t>柳南区</w:t>
      </w:r>
      <w:r>
        <w:rPr>
          <w:color w:val="auto"/>
          <w:highlight w:val="none"/>
        </w:rPr>
        <w:t>支持龙头企业等经营主体带动就业，加速推动返乡入乡创业发展，落实就业帮扶车间优惠政策，统筹用好乡村公益岗位。在</w:t>
      </w:r>
      <w:r>
        <w:rPr>
          <w:rFonts w:hint="eastAsia"/>
          <w:color w:val="auto"/>
          <w:highlight w:val="none"/>
        </w:rPr>
        <w:t>乡村振兴特色产业</w:t>
      </w:r>
      <w:r>
        <w:rPr>
          <w:color w:val="auto"/>
          <w:highlight w:val="none"/>
        </w:rPr>
        <w:t>项目建设和管护时广泛采取以工代赈方式，就近增加就业岗位安置就业。开展脱贫人口务工信息网格化摸排，动态精准掌握脱贫人口务工状况和就业需求，组织开展系列招聘送岗、</w:t>
      </w:r>
      <w:r>
        <w:rPr>
          <w:rFonts w:hint="eastAsia"/>
          <w:color w:val="auto"/>
          <w:highlight w:val="none"/>
        </w:rPr>
        <w:t>“</w:t>
      </w:r>
      <w:r>
        <w:rPr>
          <w:color w:val="auto"/>
          <w:highlight w:val="none"/>
        </w:rPr>
        <w:t>点对点、一站式</w:t>
      </w:r>
      <w:r>
        <w:rPr>
          <w:rFonts w:hint="eastAsia"/>
          <w:color w:val="auto"/>
          <w:highlight w:val="none"/>
        </w:rPr>
        <w:t>”</w:t>
      </w:r>
      <w:r>
        <w:rPr>
          <w:color w:val="auto"/>
          <w:highlight w:val="none"/>
        </w:rPr>
        <w:t>劳务转输、定向定岗技能培训等活动，帮助脱贫人口</w:t>
      </w:r>
      <w:r>
        <w:rPr>
          <w:rFonts w:hint="eastAsia"/>
          <w:color w:val="auto"/>
          <w:highlight w:val="none"/>
        </w:rPr>
        <w:t>“</w:t>
      </w:r>
      <w:r>
        <w:rPr>
          <w:color w:val="auto"/>
          <w:highlight w:val="none"/>
        </w:rPr>
        <w:t>稳在企业、稳在岗位</w:t>
      </w:r>
      <w:r>
        <w:rPr>
          <w:rFonts w:hint="eastAsia"/>
          <w:color w:val="auto"/>
          <w:highlight w:val="none"/>
        </w:rPr>
        <w:t>”</w:t>
      </w:r>
      <w:r>
        <w:rPr>
          <w:color w:val="auto"/>
          <w:highlight w:val="none"/>
        </w:rPr>
        <w:t>。</w:t>
      </w:r>
    </w:p>
    <w:p>
      <w:pPr>
        <w:pStyle w:val="4"/>
        <w:ind w:firstLine="643"/>
        <w:rPr>
          <w:color w:val="auto"/>
          <w:kern w:val="0"/>
          <w:highlight w:val="none"/>
        </w:rPr>
      </w:pPr>
      <w:r>
        <w:rPr>
          <w:rFonts w:hint="eastAsia"/>
          <w:color w:val="auto"/>
          <w:highlight w:val="none"/>
        </w:rPr>
        <w:t>二、财政资金资产收益模式</w:t>
      </w:r>
    </w:p>
    <w:p>
      <w:pPr>
        <w:ind w:firstLine="640"/>
        <w:rPr>
          <w:color w:val="auto"/>
          <w:szCs w:val="32"/>
          <w:highlight w:val="none"/>
        </w:rPr>
      </w:pPr>
      <w:r>
        <w:rPr>
          <w:rFonts w:hint="eastAsia"/>
          <w:color w:val="auto"/>
          <w:highlight w:val="none"/>
        </w:rPr>
        <w:t>建立资产收益模式，用于企业生产设施的涉农投资补助形成的资产折股量化给集体经济组织，财政奖补资金投入企业设施提升后，村集体与经营主体依法签订入股协议，明确入股金额及形式、占股比例、资金用途及拨付条件、收益分配方式、产业带农机制、合作期限、退出机制、违规责任及其他各方权利义务等，入股分红比例原则上不低于同期银行贷款的基准利率。</w:t>
      </w:r>
    </w:p>
    <w:p>
      <w:pPr>
        <w:pStyle w:val="4"/>
        <w:ind w:firstLine="643"/>
        <w:rPr>
          <w:color w:val="auto"/>
          <w:highlight w:val="none"/>
        </w:rPr>
      </w:pPr>
      <w:r>
        <w:rPr>
          <w:rFonts w:hint="eastAsia"/>
          <w:color w:val="auto"/>
          <w:highlight w:val="none"/>
        </w:rPr>
        <w:t>三、订单带动模式</w:t>
      </w:r>
    </w:p>
    <w:p>
      <w:pPr>
        <w:ind w:firstLine="640"/>
        <w:rPr>
          <w:color w:val="auto"/>
          <w:szCs w:val="32"/>
          <w:highlight w:val="none"/>
        </w:rPr>
      </w:pPr>
      <w:r>
        <w:rPr>
          <w:rFonts w:hint="eastAsia"/>
          <w:color w:val="auto"/>
          <w:highlight w:val="none"/>
        </w:rPr>
        <w:t>建立订单合作机制，以农业龙头企业为核心、农民专业合作社为纽带、家庭农场和种植大户为基础，建立农业产业化联合体，引导企业、合作社与农民订立具有法律效力的统购统销订单合同，发展“投资主体+技术+供销社+村集体+土地+劳务”订单农业模式，保障农户收益、提升生产集约化、组织化水平，实现全域产业链的金融闭环，助推广西全面实施乡村振兴。为参与特色产业发展的农户提供统一生产服务与管理，降低农户的劳动强度和经营风险，提高经营收益。企业按照合同约定的农产品价格收购，并通过优质农产品质量检测，二次返利等奖励措施让农民获得产业增值收益，调动农民生产积极性，提升农业生产质量和效益。</w:t>
      </w:r>
    </w:p>
    <w:p>
      <w:pPr>
        <w:pStyle w:val="4"/>
        <w:ind w:firstLine="643"/>
        <w:rPr>
          <w:color w:val="auto"/>
          <w:highlight w:val="none"/>
        </w:rPr>
      </w:pPr>
      <w:r>
        <w:rPr>
          <w:rFonts w:hint="eastAsia"/>
          <w:color w:val="auto"/>
          <w:highlight w:val="none"/>
        </w:rPr>
        <w:t>四、股份合作模式</w:t>
      </w:r>
    </w:p>
    <w:p>
      <w:pPr>
        <w:ind w:firstLine="640"/>
        <w:rPr>
          <w:color w:val="auto"/>
          <w:szCs w:val="32"/>
          <w:highlight w:val="none"/>
        </w:rPr>
      </w:pPr>
      <w:r>
        <w:rPr>
          <w:rFonts w:hint="eastAsia"/>
          <w:color w:val="auto"/>
          <w:highlight w:val="none"/>
        </w:rPr>
        <w:t>柳南区积极引导农业龙头企业领办或入股农村专业合作组织，支持农民、集体以土地或其他资产入股合作社或兴办农业企业，建立企业与农户之间的股份合作关系。同时，鼓励农户流转土地，集中土地资源，推进规模化连片发展。企业则通过流转农户土地、聘用农民务工、创新利益分配等方式，让农户获得“股金+租金+薪金”，形成企业与农户之间“股份式”利益联结机制。合理商议村集体所占股权比例及收益分配办法，鼓励采取“保底收益+二次分红”的分配方式。以水、电、路等“非生产经营性资产”入股的公用配套设施，建议入股分红比例为1.5—2.5%；以助农补贴资金或生产经营性资产入股，给当地提供就业岗位少于10个的，建议入股分红比例不低于6%。</w:t>
      </w:r>
    </w:p>
    <w:p>
      <w:pPr>
        <w:pStyle w:val="4"/>
        <w:ind w:firstLine="643"/>
        <w:rPr>
          <w:color w:val="auto"/>
          <w:highlight w:val="none"/>
        </w:rPr>
      </w:pPr>
      <w:r>
        <w:rPr>
          <w:color w:val="auto"/>
          <w:highlight w:val="none"/>
        </w:rPr>
        <w:t>五、</w:t>
      </w:r>
      <w:r>
        <w:rPr>
          <w:rFonts w:hint="eastAsia"/>
          <w:color w:val="auto"/>
          <w:highlight w:val="none"/>
        </w:rPr>
        <w:t>返租倒包带动模式</w:t>
      </w:r>
    </w:p>
    <w:p>
      <w:pPr>
        <w:ind w:firstLine="640"/>
        <w:rPr>
          <w:color w:val="auto"/>
          <w:highlight w:val="none"/>
        </w:rPr>
      </w:pPr>
      <w:r>
        <w:rPr>
          <w:rFonts w:hint="eastAsia"/>
          <w:color w:val="auto"/>
          <w:highlight w:val="none"/>
        </w:rPr>
        <w:t>企业（合作社）与农户签订土地流转合同，规模化流转农户土地，建设标准化养殖基地。企业（合作社）与农户签订养殖基地承包合同，承包给农户使用，按照企业（合作社）要求开展生产经营，并向企业（合作社）缴纳设施租赁费，生产的产品全部由按协议价格企业（合作社）收购。企业（合作社）与农户约定目标产量，对产量超过目标的部分，由企业和农户对半分成。</w:t>
      </w:r>
    </w:p>
    <w:p>
      <w:pPr>
        <w:pStyle w:val="4"/>
        <w:ind w:firstLine="643"/>
        <w:rPr>
          <w:color w:val="auto"/>
          <w:highlight w:val="none"/>
        </w:rPr>
      </w:pPr>
      <w:r>
        <w:rPr>
          <w:rFonts w:hint="eastAsia"/>
          <w:color w:val="auto"/>
          <w:highlight w:val="none"/>
        </w:rPr>
        <w:t>六、社会化服务带动模式</w:t>
      </w:r>
    </w:p>
    <w:p>
      <w:pPr>
        <w:ind w:firstLine="640"/>
        <w:rPr>
          <w:color w:val="auto"/>
          <w:highlight w:val="none"/>
        </w:rPr>
      </w:pPr>
      <w:r>
        <w:rPr>
          <w:rFonts w:hint="eastAsia"/>
          <w:color w:val="auto"/>
          <w:highlight w:val="none"/>
        </w:rPr>
        <w:t>柳南区采取农民出资、财政补助的方式，组建一批托管协会、农机合作社、农资经营和产品储藏合作社等社会化服务组织。引导农户与社会化服务组织签订服务合同，约定服务费和保底产量，服务费应低于当地平均水平，保底产量应高于所在乡镇平均水平。由社会化服务组织对螺蛳粉原料基地生产经营提供统一采购农资、统一农机、技术服务、统一产后服务等一系列专业化服务。社会化服务组织向企业、农户进行服务取得收益，参股的农户可获得分红收益，在社会化服务组织就业农户还可获得工资收入。</w:t>
      </w:r>
      <w:r>
        <w:rPr>
          <w:color w:val="auto"/>
          <w:highlight w:val="none"/>
        </w:rPr>
        <w:br w:type="page"/>
      </w:r>
    </w:p>
    <w:p>
      <w:pPr>
        <w:ind w:firstLine="640"/>
        <w:rPr>
          <w:color w:val="auto"/>
          <w:highlight w:val="none"/>
        </w:rPr>
      </w:pPr>
    </w:p>
    <w:p>
      <w:pPr>
        <w:pStyle w:val="2"/>
        <w:rPr>
          <w:color w:val="auto"/>
          <w:highlight w:val="none"/>
        </w:rPr>
      </w:pPr>
      <w:bookmarkStart w:id="79" w:name="_Toc137565684"/>
      <w:bookmarkStart w:id="80" w:name="_Toc150595457"/>
      <w:r>
        <w:rPr>
          <w:rFonts w:hint="eastAsia"/>
          <w:color w:val="auto"/>
          <w:highlight w:val="none"/>
        </w:rPr>
        <w:t>第八章  保障措施</w:t>
      </w:r>
      <w:bookmarkEnd w:id="79"/>
      <w:bookmarkEnd w:id="80"/>
    </w:p>
    <w:p>
      <w:pPr>
        <w:ind w:firstLine="640"/>
        <w:rPr>
          <w:color w:val="auto"/>
          <w:highlight w:val="none"/>
        </w:rPr>
      </w:pPr>
    </w:p>
    <w:p>
      <w:pPr>
        <w:ind w:firstLine="640"/>
        <w:rPr>
          <w:color w:val="auto"/>
          <w:highlight w:val="none"/>
        </w:rPr>
      </w:pPr>
      <w:r>
        <w:rPr>
          <w:rFonts w:hint="eastAsia"/>
          <w:color w:val="auto"/>
          <w:highlight w:val="none"/>
        </w:rPr>
        <w:t>特色产业发展建设是农业实现高质量飞跃的关键节点，是柳南区巩固拓展脱贫攻坚成果同乡村振兴有效衔接的核心任务，是促进农业经济建设打造“农业强柳、产业兴南”的发展重点，必须加强产业建设的组织领导、政策扶持、土地保障、资金保障、人才保障、考核激励，确保特色产业发展规划顺利实施。</w:t>
      </w:r>
    </w:p>
    <w:p>
      <w:pPr>
        <w:ind w:firstLine="640"/>
        <w:rPr>
          <w:color w:val="auto"/>
          <w:highlight w:val="none"/>
        </w:rPr>
      </w:pPr>
    </w:p>
    <w:p>
      <w:pPr>
        <w:pStyle w:val="3"/>
        <w:rPr>
          <w:rFonts w:ascii="Times New Roman" w:hAnsi="Times New Roman"/>
          <w:color w:val="auto"/>
          <w:highlight w:val="none"/>
        </w:rPr>
      </w:pPr>
      <w:bookmarkStart w:id="81" w:name="_Toc137565685"/>
      <w:bookmarkStart w:id="82" w:name="_Toc150595458"/>
      <w:r>
        <w:rPr>
          <w:rFonts w:hint="eastAsia" w:ascii="Times New Roman" w:hAnsi="Times New Roman"/>
          <w:color w:val="auto"/>
          <w:highlight w:val="none"/>
        </w:rPr>
        <w:t>第一节  加强组织领导</w:t>
      </w:r>
      <w:bookmarkEnd w:id="81"/>
      <w:bookmarkEnd w:id="82"/>
    </w:p>
    <w:p>
      <w:pPr>
        <w:ind w:firstLine="640"/>
        <w:rPr>
          <w:color w:val="auto"/>
          <w:highlight w:val="none"/>
        </w:rPr>
      </w:pPr>
      <w:r>
        <w:rPr>
          <w:rFonts w:hint="eastAsia"/>
          <w:color w:val="auto"/>
          <w:highlight w:val="none"/>
        </w:rPr>
        <w:t>依托于柳南区委农村工作（乡村振兴）领导小组，全力推动农业农村现代化发展及特色产业规划在各乡镇的项目落地，统筹协调各乡镇部门情况，整合各类项目资金支持特色产业的发展；坚持乡村振兴农业农村优先发展总方针，强化责任落实，建立党委统一领导、党政齐抓共管、农村工作综合部门组织协调、有关部门各负其责的农业农村工作领导体制和工作机制，分项目、分季度落实特色产业发展建设任务情况，建立“区—镇—村”三级特色产业管理网络，增强产业建设反馈意识，及时反馈并解决建设过程中出现的问题，协调推进特色产业建设衔接柳南区乡村振兴发展。</w:t>
      </w:r>
    </w:p>
    <w:p>
      <w:pPr>
        <w:ind w:firstLine="640"/>
        <w:rPr>
          <w:color w:val="auto"/>
          <w:highlight w:val="none"/>
        </w:rPr>
      </w:pPr>
    </w:p>
    <w:p>
      <w:pPr>
        <w:pStyle w:val="3"/>
        <w:rPr>
          <w:rFonts w:ascii="Times New Roman" w:hAnsi="Times New Roman"/>
          <w:color w:val="auto"/>
          <w:highlight w:val="none"/>
        </w:rPr>
      </w:pPr>
      <w:bookmarkStart w:id="83" w:name="_Toc137565686"/>
      <w:bookmarkStart w:id="84" w:name="_Toc150595459"/>
      <w:r>
        <w:rPr>
          <w:rFonts w:hint="eastAsia" w:ascii="Times New Roman" w:hAnsi="Times New Roman"/>
          <w:color w:val="auto"/>
          <w:highlight w:val="none"/>
        </w:rPr>
        <w:t>第二节  加强政策扶持</w:t>
      </w:r>
      <w:bookmarkEnd w:id="83"/>
      <w:bookmarkEnd w:id="84"/>
    </w:p>
    <w:p>
      <w:pPr>
        <w:ind w:firstLine="640"/>
        <w:rPr>
          <w:color w:val="auto"/>
          <w:highlight w:val="none"/>
        </w:rPr>
      </w:pPr>
      <w:r>
        <w:rPr>
          <w:rFonts w:hint="eastAsia"/>
          <w:color w:val="auto"/>
          <w:highlight w:val="none"/>
        </w:rPr>
        <w:t>强化农业农村优先发展政策扶持力度，国家、自治区不断强化乡村振兴投入，进一步整合政策支持、要素投入、行政服务等各方面发展要素，严格落实农业农村现代化发展政策扶持机制。加快形成以财政投入为导向、信贷资本为依托、企业（合作社）投入为主体、社会资金和外资投入为补充的多元化投入格局。结合柳南区农业农村发展的重点任务，加强在农田建设、产业培壮、农业科研、人才引进、技术装备、绿色发展、品牌兴农、农村公共基础设施建设、农村公共服务能力提升等方面的财政支持政策，进一步优化融资担保环境、提高贷款贴息建设、深化减税免税工作等，撬动社会资本投入乡村特色产业建设，切实扩大农业农村领域有效投资。</w:t>
      </w:r>
    </w:p>
    <w:p>
      <w:pPr>
        <w:ind w:firstLine="640"/>
        <w:rPr>
          <w:color w:val="auto"/>
          <w:highlight w:val="none"/>
        </w:rPr>
      </w:pPr>
    </w:p>
    <w:p>
      <w:pPr>
        <w:pStyle w:val="3"/>
        <w:rPr>
          <w:rFonts w:ascii="Times New Roman" w:hAnsi="Times New Roman"/>
          <w:color w:val="auto"/>
          <w:highlight w:val="none"/>
        </w:rPr>
      </w:pPr>
      <w:bookmarkStart w:id="85" w:name="_Toc137565687"/>
      <w:bookmarkStart w:id="86" w:name="_Toc150595460"/>
      <w:r>
        <w:rPr>
          <w:rFonts w:hint="eastAsia" w:ascii="Times New Roman" w:hAnsi="Times New Roman"/>
          <w:color w:val="auto"/>
          <w:highlight w:val="none"/>
        </w:rPr>
        <w:t>第三节  加强土地保障</w:t>
      </w:r>
      <w:bookmarkEnd w:id="85"/>
      <w:bookmarkEnd w:id="86"/>
    </w:p>
    <w:p>
      <w:pPr>
        <w:ind w:firstLine="640"/>
        <w:rPr>
          <w:color w:val="auto"/>
          <w:highlight w:val="none"/>
        </w:rPr>
      </w:pPr>
      <w:r>
        <w:rPr>
          <w:rFonts w:hint="eastAsia"/>
          <w:color w:val="auto"/>
          <w:highlight w:val="none"/>
        </w:rPr>
        <w:t>建立重大项目用地保障工作机制，加强农业农村领域重点项目在土地集约流转、建设用地指标方面的支持保障。持续优化政策支持环境，落实国家农业保障支持政策，出台柳南区相关土地折股量化相关政策，减轻涉农经营主体负担，增强企业及农户抵御自然风险的能力。加大新增建设用地计划倾斜力度的措施，根据产业发展用地需求，重点保障特色产业土地供应和重大项目建设。支持特色产业发展实行城乡建设用地增减挂钩与农村土地整治，周转指标在保障被拆迁农民安置和农村公共设施建设用地后，优先用于特色产业发展或企业项目建设。有效优化土地利用结构，为产业发展筑牢根基。</w:t>
      </w:r>
    </w:p>
    <w:p>
      <w:pPr>
        <w:ind w:firstLine="640"/>
        <w:rPr>
          <w:color w:val="auto"/>
          <w:highlight w:val="none"/>
        </w:rPr>
      </w:pPr>
    </w:p>
    <w:p>
      <w:pPr>
        <w:pStyle w:val="3"/>
        <w:rPr>
          <w:rFonts w:ascii="Times New Roman" w:hAnsi="Times New Roman"/>
          <w:color w:val="auto"/>
          <w:highlight w:val="none"/>
        </w:rPr>
      </w:pPr>
      <w:bookmarkStart w:id="87" w:name="_Toc137565688"/>
      <w:bookmarkStart w:id="88" w:name="_Toc150595461"/>
      <w:r>
        <w:rPr>
          <w:rFonts w:hint="eastAsia" w:ascii="Times New Roman" w:hAnsi="Times New Roman"/>
          <w:color w:val="auto"/>
          <w:highlight w:val="none"/>
        </w:rPr>
        <w:t>第四节  加强资金保障</w:t>
      </w:r>
      <w:bookmarkEnd w:id="87"/>
      <w:bookmarkEnd w:id="88"/>
    </w:p>
    <w:p>
      <w:pPr>
        <w:spacing w:line="540" w:lineRule="exact"/>
        <w:ind w:firstLine="640"/>
        <w:rPr>
          <w:color w:val="auto"/>
          <w:highlight w:val="none"/>
        </w:rPr>
      </w:pPr>
      <w:r>
        <w:rPr>
          <w:rFonts w:hint="eastAsia"/>
          <w:color w:val="auto"/>
          <w:highlight w:val="none"/>
        </w:rPr>
        <w:t>发挥政府投资引导带动作用。进一步改进财政资金分配方式，继续发挥政府投资引导资金的作用，拓宽投融资渠道，带动社会资本投入，提高财政资金使用效益，推动资源配置依据市场规则、市场竞争实现效益最大化和效率最优化。加强资金资产项目管理和监督，建立健全资产管理制度，持续发挥效益。整合各类财政专项资金，改进政府投资方式，进一步提高财政资金以股权投资、投资基金等方式安排的比例，不断扩大政府投资的放大效应，健全财政投入保障机制，保障农业农村建设资金需求。</w:t>
      </w:r>
    </w:p>
    <w:p>
      <w:pPr>
        <w:spacing w:line="540" w:lineRule="exact"/>
        <w:ind w:firstLine="640"/>
        <w:rPr>
          <w:color w:val="auto"/>
          <w:highlight w:val="none"/>
        </w:rPr>
      </w:pPr>
      <w:r>
        <w:rPr>
          <w:rFonts w:hint="eastAsia"/>
          <w:color w:val="auto"/>
          <w:highlight w:val="none"/>
        </w:rPr>
        <w:t>优化融资结构，改进小微企业和“三农”金融服务。加快农村金融创新，健全信贷、保险、投资、担保等融资体系，推动高科技农业项目的信贷支持力度。培育壮大融资租赁业，拓宽金融租赁业资金来源渠道；加大柳南区人民政府对农业农村乡村振兴融合</w:t>
      </w:r>
      <w:r>
        <w:rPr>
          <w:rFonts w:hint="eastAsia"/>
          <w:color w:val="auto"/>
          <w:spacing w:val="-2"/>
          <w:highlight w:val="none"/>
        </w:rPr>
        <w:t>发展资金的支持与保障，积极引导民间资本的投资向农业农村领域倾斜，多方筹措资金为农业农村发展建设提供强有力的资金支持。</w:t>
      </w:r>
    </w:p>
    <w:p>
      <w:pPr>
        <w:spacing w:line="540" w:lineRule="exact"/>
        <w:ind w:firstLine="640"/>
        <w:rPr>
          <w:color w:val="auto"/>
          <w:highlight w:val="none"/>
        </w:rPr>
      </w:pPr>
    </w:p>
    <w:p>
      <w:pPr>
        <w:pStyle w:val="3"/>
        <w:spacing w:line="540" w:lineRule="exact"/>
        <w:rPr>
          <w:rFonts w:ascii="Times New Roman" w:hAnsi="Times New Roman"/>
          <w:color w:val="auto"/>
          <w:highlight w:val="none"/>
        </w:rPr>
      </w:pPr>
      <w:bookmarkStart w:id="89" w:name="_Toc150595462"/>
      <w:bookmarkStart w:id="90" w:name="_Toc137565689"/>
      <w:r>
        <w:rPr>
          <w:rFonts w:hint="eastAsia" w:ascii="Times New Roman" w:hAnsi="Times New Roman"/>
          <w:color w:val="auto"/>
          <w:highlight w:val="none"/>
        </w:rPr>
        <w:t>第五节  加强人才保障</w:t>
      </w:r>
      <w:bookmarkEnd w:id="89"/>
      <w:bookmarkEnd w:id="90"/>
    </w:p>
    <w:p>
      <w:pPr>
        <w:spacing w:line="540" w:lineRule="exact"/>
        <w:ind w:firstLine="640"/>
        <w:rPr>
          <w:color w:val="auto"/>
          <w:highlight w:val="none"/>
        </w:rPr>
      </w:pPr>
      <w:r>
        <w:rPr>
          <w:rFonts w:hint="eastAsia"/>
          <w:color w:val="auto"/>
          <w:highlight w:val="none"/>
        </w:rPr>
        <w:t>抓好人才引进和培养，积极发挥科技型人才对农业农村发展的支撑作用，全面提高农业农村从业人员的业务素质。发挥现有农业技术推广部门等涉农部门的主渠道作用，积极开展线上线下农业专业技术人才和农村实用人才培训。</w:t>
      </w:r>
    </w:p>
    <w:p>
      <w:pPr>
        <w:spacing w:line="540" w:lineRule="exact"/>
        <w:ind w:firstLine="640"/>
        <w:rPr>
          <w:color w:val="auto"/>
          <w:highlight w:val="none"/>
        </w:rPr>
      </w:pPr>
      <w:r>
        <w:rPr>
          <w:rFonts w:hint="eastAsia"/>
          <w:color w:val="auto"/>
          <w:highlight w:val="none"/>
        </w:rPr>
        <w:t>建设创新型人才队伍。扩大高层次人才特殊支持计划，支持更多青年人才成为领军人才。加大对企业在站博士后科研项目支持力度，推动国内知名高校、科研院所和企业共建博士后工作站。加强人才创新创业平台建设，促进人才链与产业链相融合，加强国内外人才交流合作，激发高校院所、平台企业、海归人员等人员创业创新动力。畅通人才流通渠道，鼓励支持科研人员兼职兼薪和离岗创业，推动更多创新人才带专利、项目、团队创业。</w:t>
      </w:r>
    </w:p>
    <w:p>
      <w:pPr>
        <w:spacing w:line="540" w:lineRule="exact"/>
        <w:ind w:firstLine="640"/>
        <w:rPr>
          <w:color w:val="auto"/>
          <w:highlight w:val="none"/>
        </w:rPr>
      </w:pPr>
      <w:r>
        <w:rPr>
          <w:rFonts w:hint="eastAsia"/>
          <w:color w:val="auto"/>
          <w:highlight w:val="none"/>
        </w:rPr>
        <w:t>完善人才服务保障体系。完善创新人才激励政策，通过实施创新型企业、科技成果转化、创新型人才税收激励等政策，吸引集聚区内外各类创新创业人才，让科技人才合理合法富裕起来。健全人才服务保障体系，为科技人才安家落户、科技研发、经费支持、社会保障、子女教育和配偶就业等提供周到便捷优质服务。构建完备的人才梯次结构，加大对青年科研人员的资助力度，健全与青年人才岗位、能力、贡献相适应的激励机制。营造人才发展氛围，积极营造重视人才、尊重人才、尊重创造的社会氛围，增强科技人才的凝聚力向心力。</w:t>
      </w:r>
    </w:p>
    <w:p>
      <w:pPr>
        <w:spacing w:line="540" w:lineRule="exact"/>
        <w:ind w:firstLine="640"/>
        <w:rPr>
          <w:color w:val="auto"/>
          <w:highlight w:val="none"/>
        </w:rPr>
      </w:pPr>
    </w:p>
    <w:p>
      <w:pPr>
        <w:pStyle w:val="3"/>
        <w:spacing w:line="540" w:lineRule="exact"/>
        <w:rPr>
          <w:rFonts w:ascii="Times New Roman" w:hAnsi="Times New Roman"/>
          <w:color w:val="auto"/>
          <w:highlight w:val="none"/>
        </w:rPr>
      </w:pPr>
      <w:bookmarkStart w:id="91" w:name="_Toc150595463"/>
      <w:bookmarkStart w:id="92" w:name="_Toc137565690"/>
      <w:r>
        <w:rPr>
          <w:rFonts w:hint="eastAsia" w:ascii="Times New Roman" w:hAnsi="Times New Roman"/>
          <w:color w:val="auto"/>
          <w:highlight w:val="none"/>
        </w:rPr>
        <w:t>第六节  强化考核激励</w:t>
      </w:r>
      <w:bookmarkEnd w:id="91"/>
      <w:bookmarkEnd w:id="92"/>
    </w:p>
    <w:p>
      <w:pPr>
        <w:spacing w:line="540" w:lineRule="exact"/>
        <w:ind w:firstLine="640"/>
      </w:pPr>
      <w:r>
        <w:rPr>
          <w:rFonts w:hint="eastAsia"/>
          <w:color w:val="auto"/>
          <w:highlight w:val="none"/>
        </w:rPr>
        <w:t>将柳南区乡村振兴特色产业建设纳入相关部门和乡镇负责人推进乡村振兴实绩考核体系，完善责任划分与任务考核机制，明确责任统筹协调，建立逐年落实、动态实施的重大项目工作机制，逐年分解落实规划目标和工作任务；将年度建设内容细化成季度任务进行验收考核，将评估考核结果作为乡村振兴战略实绩考核、项目资金安排等的重要依据，对建设成绩优秀的乡镇给予项目资源倾斜和资金帮扶，提高各乡镇产业建设积极性。完善公众参与和民主监督机制，主动公开规划实施的相关信息，接受社会监督。完善规划实施监测评估机制，认真做好规划实施情况中期和末期评估，强化社会监督建设，采取多种形式、通过多种渠道，强化对规划实施情况跟踪分析，进一步完善公众参与和民主监督机制。</w:t>
      </w:r>
      <w:r>
        <w:br w:type="page"/>
      </w:r>
    </w:p>
    <w:bookmarkEnd w:id="8"/>
    <w:p>
      <w:pPr>
        <w:spacing w:line="580" w:lineRule="exact"/>
        <w:ind w:firstLine="0" w:firstLineChars="0"/>
        <w:sectPr>
          <w:footerReference r:id="rId17" w:type="default"/>
          <w:footerReference r:id="rId18" w:type="even"/>
          <w:pgSz w:w="11906" w:h="16838"/>
          <w:pgMar w:top="1928" w:right="1418" w:bottom="1814" w:left="1418" w:header="851" w:footer="992" w:gutter="0"/>
          <w:pgNumType w:start="1"/>
          <w:cols w:space="425" w:num="1"/>
          <w:docGrid w:type="lines" w:linePitch="435" w:charSpace="0"/>
        </w:sectPr>
      </w:pPr>
    </w:p>
    <w:p>
      <w:pPr>
        <w:pStyle w:val="2"/>
        <w:jc w:val="left"/>
        <w:rPr>
          <w:rFonts w:hint="eastAsia"/>
        </w:rPr>
      </w:pPr>
      <w:r>
        <w:rPr>
          <w:rFonts w:hint="eastAsia"/>
        </w:rPr>
        <w:t xml:space="preserve">附表：                         </w:t>
      </w:r>
      <w:r>
        <w:rPr>
          <w:rFonts w:hint="eastAsia" w:ascii="方正小标宋简体" w:hAnsi="方正小标宋简体" w:eastAsia="方正小标宋简体" w:cs="方正小标宋简体"/>
        </w:rPr>
        <w:t>柳南区特色产业发展项目库</w:t>
      </w:r>
    </w:p>
    <w:tbl>
      <w:tblPr>
        <w:tblStyle w:val="22"/>
        <w:tblW w:w="158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200"/>
        <w:gridCol w:w="512"/>
        <w:gridCol w:w="806"/>
        <w:gridCol w:w="767"/>
        <w:gridCol w:w="3210"/>
        <w:gridCol w:w="785"/>
        <w:gridCol w:w="947"/>
        <w:gridCol w:w="983"/>
        <w:gridCol w:w="900"/>
        <w:gridCol w:w="673"/>
        <w:gridCol w:w="901"/>
        <w:gridCol w:w="899"/>
        <w:gridCol w:w="899"/>
        <w:gridCol w:w="867"/>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blHeader/>
          <w:jc w:val="center"/>
        </w:trPr>
        <w:tc>
          <w:tcPr>
            <w:tcW w:w="672"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序号</w:t>
            </w:r>
          </w:p>
        </w:tc>
        <w:tc>
          <w:tcPr>
            <w:tcW w:w="1200"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项目名称</w:t>
            </w:r>
          </w:p>
        </w:tc>
        <w:tc>
          <w:tcPr>
            <w:tcW w:w="512"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项目性质</w:t>
            </w:r>
          </w:p>
        </w:tc>
        <w:tc>
          <w:tcPr>
            <w:tcW w:w="806"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建设地点</w:t>
            </w:r>
          </w:p>
        </w:tc>
        <w:tc>
          <w:tcPr>
            <w:tcW w:w="767"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覆盖脱贫村</w:t>
            </w:r>
          </w:p>
        </w:tc>
        <w:tc>
          <w:tcPr>
            <w:tcW w:w="3210"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建设内容与规模</w:t>
            </w:r>
          </w:p>
        </w:tc>
        <w:tc>
          <w:tcPr>
            <w:tcW w:w="785"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实施主体</w:t>
            </w:r>
          </w:p>
        </w:tc>
        <w:tc>
          <w:tcPr>
            <w:tcW w:w="947"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责任部门</w:t>
            </w:r>
          </w:p>
        </w:tc>
        <w:tc>
          <w:tcPr>
            <w:tcW w:w="983" w:type="dxa"/>
            <w:vMerge w:val="restart"/>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总投资</w:t>
            </w:r>
          </w:p>
        </w:tc>
        <w:tc>
          <w:tcPr>
            <w:tcW w:w="2474" w:type="dxa"/>
            <w:gridSpan w:val="3"/>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资金来源</w:t>
            </w:r>
          </w:p>
        </w:tc>
        <w:tc>
          <w:tcPr>
            <w:tcW w:w="3491" w:type="dxa"/>
            <w:gridSpan w:val="4"/>
            <w:tcBorders>
              <w:top w:val="single" w:color="auto" w:sz="4" w:space="0"/>
              <w:left w:val="single" w:color="auto" w:sz="4" w:space="0"/>
              <w:right w:val="single" w:color="auto" w:sz="4" w:space="0"/>
            </w:tcBorders>
            <w:shd w:val="clear" w:color="auto" w:fill="FFFFFF"/>
            <w:vAlign w:val="center"/>
          </w:tcPr>
          <w:p>
            <w:pPr>
              <w:keepNext/>
              <w:keepLines/>
              <w:widowControl/>
              <w:spacing w:line="300" w:lineRule="exact"/>
              <w:ind w:firstLine="0" w:firstLineChars="0"/>
              <w:jc w:val="center"/>
              <w:outlineLvl w:val="1"/>
              <w:rPr>
                <w:rFonts w:ascii="黑体" w:hAnsi="黑体" w:eastAsia="黑体" w:cs="黑体"/>
                <w:kern w:val="0"/>
                <w:sz w:val="21"/>
                <w:szCs w:val="21"/>
              </w:rPr>
            </w:pPr>
            <w:r>
              <w:rPr>
                <w:rFonts w:hint="eastAsia" w:ascii="黑体" w:hAnsi="黑体" w:eastAsia="黑体" w:cs="黑体"/>
                <w:kern w:val="0"/>
                <w:sz w:val="21"/>
                <w:szCs w:val="21"/>
              </w:rPr>
              <w:t>年度投资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672"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1200"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512"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806"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767"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3210"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785" w:type="dxa"/>
            <w:vMerge w:val="continue"/>
            <w:tcBorders>
              <w:left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947"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983" w:type="dxa"/>
            <w:vMerge w:val="continue"/>
            <w:tcBorders>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hint="eastAsia" w:ascii="黑体" w:hAnsi="黑体" w:eastAsia="黑体" w:cs="黑体"/>
                <w:kern w:val="0"/>
                <w:sz w:val="21"/>
                <w:szCs w:val="21"/>
              </w:rPr>
              <w:t>财政衔接资金</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hint="eastAsia" w:ascii="黑体" w:hAnsi="黑体" w:eastAsia="黑体" w:cs="黑体"/>
                <w:kern w:val="0"/>
                <w:sz w:val="21"/>
                <w:szCs w:val="21"/>
              </w:rPr>
              <w:t>其他财政资金</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hint="eastAsia" w:ascii="黑体" w:hAnsi="黑体" w:eastAsia="黑体" w:cs="黑体"/>
                <w:kern w:val="0"/>
                <w:sz w:val="21"/>
                <w:szCs w:val="21"/>
              </w:rPr>
              <w:t>社会投入资金</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ascii="黑体" w:hAnsi="黑体" w:eastAsia="黑体" w:cs="黑体"/>
                <w:spacing w:val="-20"/>
                <w:kern w:val="0"/>
                <w:sz w:val="21"/>
                <w:szCs w:val="21"/>
              </w:rPr>
              <w:t>2022</w:t>
            </w:r>
            <w:r>
              <w:rPr>
                <w:rFonts w:hint="eastAsia" w:ascii="黑体" w:hAnsi="黑体" w:eastAsia="黑体" w:cs="黑体"/>
                <w:spacing w:val="-20"/>
                <w:kern w:val="0"/>
                <w:sz w:val="21"/>
                <w:szCs w:val="21"/>
              </w:rPr>
              <w:t>年</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spacing w:val="-20"/>
                <w:kern w:val="0"/>
                <w:sz w:val="21"/>
                <w:szCs w:val="21"/>
              </w:rPr>
            </w:pPr>
            <w:r>
              <w:rPr>
                <w:rFonts w:ascii="黑体" w:hAnsi="黑体" w:eastAsia="黑体" w:cs="黑体"/>
                <w:spacing w:val="-20"/>
                <w:kern w:val="0"/>
                <w:sz w:val="21"/>
                <w:szCs w:val="21"/>
              </w:rPr>
              <w:t>2023</w:t>
            </w:r>
            <w:r>
              <w:rPr>
                <w:rFonts w:hint="eastAsia" w:ascii="黑体" w:hAnsi="黑体" w:eastAsia="黑体" w:cs="黑体"/>
                <w:spacing w:val="-20"/>
                <w:kern w:val="0"/>
                <w:sz w:val="21"/>
                <w:szCs w:val="21"/>
              </w:rPr>
              <w:t>年</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ascii="黑体" w:hAnsi="黑体" w:eastAsia="黑体" w:cs="黑体"/>
                <w:spacing w:val="-20"/>
                <w:kern w:val="0"/>
                <w:sz w:val="21"/>
                <w:szCs w:val="21"/>
              </w:rPr>
              <w:t>2024</w:t>
            </w:r>
            <w:r>
              <w:rPr>
                <w:rFonts w:hint="eastAsia" w:ascii="黑体" w:hAnsi="黑体" w:eastAsia="黑体" w:cs="黑体"/>
                <w:spacing w:val="-20"/>
                <w:kern w:val="0"/>
                <w:sz w:val="21"/>
                <w:szCs w:val="21"/>
              </w:rPr>
              <w:t>年</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ascii="黑体" w:hAnsi="黑体" w:eastAsia="黑体" w:cs="黑体"/>
                <w:spacing w:val="-20"/>
                <w:kern w:val="0"/>
                <w:sz w:val="21"/>
                <w:szCs w:val="21"/>
              </w:rPr>
              <w:t>2025</w:t>
            </w:r>
            <w:r>
              <w:rPr>
                <w:rFonts w:hint="eastAsia" w:ascii="黑体" w:hAnsi="黑体" w:eastAsia="黑体" w:cs="黑体"/>
                <w:spacing w:val="-20"/>
                <w:kern w:val="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sz w:val="21"/>
                <w:szCs w:val="21"/>
              </w:rPr>
            </w:pPr>
            <w:r>
              <w:rPr>
                <w:rFonts w:hint="eastAsia" w:ascii="黑体" w:hAnsi="黑体" w:eastAsia="黑体" w:cs="黑体"/>
                <w:kern w:val="0"/>
                <w:sz w:val="21"/>
                <w:szCs w:val="21"/>
              </w:rPr>
              <w:t>总计</w:t>
            </w:r>
          </w:p>
        </w:tc>
        <w:tc>
          <w:tcPr>
            <w:tcW w:w="1712"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ind w:firstLine="0" w:firstLineChars="0"/>
              <w:rPr>
                <w:rFonts w:ascii="黑体" w:hAnsi="黑体" w:eastAsia="黑体" w:cs="黑体"/>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tcPr>
          <w:p>
            <w:pPr>
              <w:spacing w:line="300" w:lineRule="exact"/>
              <w:ind w:firstLine="0" w:firstLineChars="0"/>
              <w:rPr>
                <w:rFonts w:ascii="黑体" w:hAnsi="黑体" w:eastAsia="黑体" w:cs="黑体"/>
                <w:sz w:val="21"/>
                <w:szCs w:val="21"/>
              </w:rPr>
            </w:pPr>
          </w:p>
        </w:tc>
        <w:tc>
          <w:tcPr>
            <w:tcW w:w="767" w:type="dxa"/>
            <w:tcBorders>
              <w:top w:val="single" w:color="auto" w:sz="4" w:space="0"/>
              <w:left w:val="single" w:color="auto" w:sz="4" w:space="0"/>
              <w:bottom w:val="single" w:color="auto" w:sz="4" w:space="0"/>
              <w:right w:val="single" w:color="auto" w:sz="4" w:space="0"/>
            </w:tcBorders>
            <w:shd w:val="clear" w:color="auto" w:fill="FFFFFF"/>
          </w:tcPr>
          <w:p>
            <w:pPr>
              <w:spacing w:line="300" w:lineRule="exact"/>
              <w:ind w:firstLine="0" w:firstLineChars="0"/>
              <w:rPr>
                <w:rFonts w:ascii="黑体" w:hAnsi="黑体" w:eastAsia="黑体" w:cs="黑体"/>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ind w:firstLine="0" w:firstLineChars="0"/>
              <w:rPr>
                <w:rFonts w:ascii="黑体" w:hAnsi="黑体" w:eastAsia="黑体" w:cs="黑体"/>
                <w:sz w:val="21"/>
                <w:szCs w:val="21"/>
              </w:rPr>
            </w:pP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ind w:firstLine="0" w:firstLineChars="0"/>
              <w:jc w:val="center"/>
              <w:rPr>
                <w:rFonts w:ascii="黑体" w:hAnsi="黑体" w:eastAsia="黑体" w:cs="黑体"/>
                <w:sz w:val="21"/>
                <w:szCs w:val="21"/>
              </w:rPr>
            </w:pP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ind w:firstLine="0" w:firstLineChars="0"/>
              <w:jc w:val="center"/>
              <w:rPr>
                <w:rFonts w:ascii="黑体" w:hAnsi="黑体" w:eastAsia="黑体" w:cs="黑体"/>
                <w:sz w:val="21"/>
                <w:szCs w:val="21"/>
              </w:rPr>
            </w:pP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auto" w:fill="FFFFFF"/>
          </w:tcPr>
          <w:p>
            <w:pPr>
              <w:widowControl/>
              <w:spacing w:line="300" w:lineRule="exact"/>
              <w:ind w:firstLine="0" w:firstLineChars="0"/>
              <w:jc w:val="center"/>
              <w:rPr>
                <w:rFonts w:ascii="黑体" w:hAnsi="黑体" w:eastAsia="黑体" w:cs="黑体"/>
                <w:sz w:val="21"/>
                <w:szCs w:val="21"/>
              </w:rPr>
            </w:pP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sz w:val="21"/>
                <w:szCs w:val="21"/>
              </w:rPr>
            </w:pP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sz w:val="21"/>
                <w:szCs w:val="21"/>
              </w:rPr>
            </w:pPr>
          </w:p>
        </w:tc>
        <w:tc>
          <w:tcPr>
            <w:tcW w:w="899" w:type="dxa"/>
            <w:tcBorders>
              <w:top w:val="single" w:color="auto" w:sz="4" w:space="0"/>
              <w:left w:val="single" w:color="auto" w:sz="4" w:space="0"/>
              <w:bottom w:val="single" w:color="auto" w:sz="4" w:space="0"/>
              <w:right w:val="single" w:color="auto" w:sz="4" w:space="0"/>
            </w:tcBorders>
            <w:shd w:val="clear" w:color="auto" w:fill="FFFFFF"/>
          </w:tcPr>
          <w:p>
            <w:pPr>
              <w:widowControl/>
              <w:spacing w:line="300" w:lineRule="exact"/>
              <w:ind w:firstLine="0" w:firstLineChars="0"/>
              <w:jc w:val="center"/>
              <w:rPr>
                <w:rFonts w:ascii="黑体" w:hAnsi="黑体" w:eastAsia="黑体" w:cs="黑体"/>
                <w:sz w:val="21"/>
                <w:szCs w:val="21"/>
              </w:rPr>
            </w:pP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sz w:val="21"/>
                <w:szCs w:val="21"/>
              </w:rPr>
            </w:pP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sz w:val="21"/>
                <w:szCs w:val="21"/>
              </w:rPr>
            </w:pP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hint="eastAsia" w:ascii="黑体" w:hAnsi="黑体" w:eastAsia="黑体" w:cs="黑体"/>
                <w:kern w:val="0"/>
                <w:sz w:val="21"/>
                <w:szCs w:val="21"/>
              </w:rPr>
              <w:t>一</w:t>
            </w:r>
          </w:p>
        </w:tc>
        <w:tc>
          <w:tcPr>
            <w:tcW w:w="8227"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left"/>
              <w:rPr>
                <w:rFonts w:ascii="黑体" w:hAnsi="黑体" w:eastAsia="黑体" w:cs="黑体"/>
                <w:kern w:val="0"/>
                <w:sz w:val="21"/>
                <w:szCs w:val="21"/>
              </w:rPr>
            </w:pPr>
            <w:r>
              <w:rPr>
                <w:rFonts w:hint="eastAsia" w:ascii="黑体" w:hAnsi="黑体" w:eastAsia="黑体" w:cs="黑体"/>
                <w:kern w:val="0"/>
                <w:sz w:val="21"/>
                <w:szCs w:val="21"/>
              </w:rPr>
              <w:t>柳州螺蛳粉全产业</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螺蛳粉原材料以奖代补奖补——竹笋、木耳、豆角等原材料基地建设奖补</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2022年—2025年，每年新增种养植笋用竹、豆角、木耳，螺蛳等螺蛳粉原材料，经验收合格的分别给予带动脱贫户、监测对象的新型经营主体、村集体经组织奖补900元/亩、1.5元/棒。</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太阳村镇、洛满镇、流山镇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柳南区农业农村局、柳南区自然资源局、太阳村镇、洛满镇、流山镇、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2200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2200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2200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竹笋种质资源示范园提质升级项目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ind w:firstLine="0" w:firstLineChars="0"/>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color w:val="000000"/>
                <w:sz w:val="21"/>
                <w:szCs w:val="21"/>
              </w:rPr>
              <w:t>新建</w:t>
            </w:r>
            <w:r>
              <w:rPr>
                <w:rStyle w:val="44"/>
                <w:rFonts w:ascii="仿宋_GB2312" w:hAnsi="仿宋_GB2312" w:eastAsia="仿宋_GB2312" w:cs="仿宋_GB2312"/>
                <w:sz w:val="21"/>
                <w:szCs w:val="21"/>
              </w:rPr>
              <w:t>1</w:t>
            </w:r>
            <w:r>
              <w:rPr>
                <w:rStyle w:val="45"/>
                <w:rFonts w:hint="default" w:ascii="仿宋_GB2312" w:hAnsi="仿宋_GB2312" w:eastAsia="仿宋_GB2312" w:cs="仿宋_GB2312"/>
                <w:sz w:val="21"/>
                <w:szCs w:val="21"/>
              </w:rPr>
              <w:t>个种质资源库和1个新品种笋用竹示范园，建设规模</w:t>
            </w:r>
            <w:r>
              <w:rPr>
                <w:rStyle w:val="44"/>
                <w:rFonts w:ascii="仿宋_GB2312" w:hAnsi="仿宋_GB2312" w:eastAsia="仿宋_GB2312" w:cs="仿宋_GB2312"/>
                <w:sz w:val="21"/>
                <w:szCs w:val="21"/>
              </w:rPr>
              <w:t>100</w:t>
            </w:r>
            <w:r>
              <w:rPr>
                <w:rStyle w:val="45"/>
                <w:rFonts w:hint="default" w:ascii="仿宋_GB2312" w:hAnsi="仿宋_GB2312" w:eastAsia="仿宋_GB2312" w:cs="仿宋_GB2312"/>
                <w:sz w:val="21"/>
                <w:szCs w:val="21"/>
              </w:rPr>
              <w:t>亩。从区内、云南、福建等地选取并引进竹类的品种，按照绿色有机栽培技术规范进行作业，提升螺蛳粉原材料种植、养殖的科技化、智能化发展水平，完善健全真实、完整的种植采收、投入品使用、产品销售等可追溯的记录档案。</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柳南区自然资源局、柳南区农业农村局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柳南区农业农村局、柳南区自然资源局</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yellow"/>
              </w:rPr>
            </w:pPr>
            <w:r>
              <w:rPr>
                <w:rFonts w:hint="eastAsia" w:ascii="仿宋_GB2312" w:hAnsi="仿宋_GB2312" w:eastAsia="仿宋_GB2312" w:cs="仿宋_GB2312"/>
                <w:color w:val="000000"/>
                <w:kern w:val="0"/>
                <w:sz w:val="21"/>
                <w:szCs w:val="21"/>
              </w:rPr>
              <w:t>柳南区太阳村镇百乐种植竹笋示范基地项目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修建竹笋种植示范基地产业道路，完善竹笋种植示范基地配套设施。</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乡村振兴局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乡村振兴局</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180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180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180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color w:val="000000"/>
                <w:kern w:val="0"/>
                <w:sz w:val="21"/>
                <w:szCs w:val="21"/>
              </w:rPr>
              <w:t>柳南区酸笋豆角仓储分拣场建设工程</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新建竹笋分拣仓储加工场一处，平整土地6700平方米，建设分拣大棚700平方米，鲜储池20个，前处理、切丝间1000平方米。</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340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340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color w:val="000000"/>
                <w:kern w:val="0"/>
                <w:sz w:val="21"/>
                <w:szCs w:val="21"/>
              </w:rPr>
            </w:pPr>
            <w:r>
              <w:rPr>
                <w:rFonts w:hint="eastAsia" w:ascii="仿宋_GB2312" w:hAnsi="仿宋_GB2312" w:eastAsia="仿宋_GB2312" w:cs="仿宋_GB2312"/>
                <w:color w:val="000000"/>
                <w:kern w:val="0"/>
                <w:sz w:val="21"/>
                <w:szCs w:val="21"/>
              </w:rPr>
              <w:t>洛满镇螺蛳粉原材料初加工基地项目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新建农产品仓储冷链基地，占地约6.75亩，总建筑面积2608.75平方米，新建建筑面积1870.25平方米，其中仓库、冷库、冰库以及分拣区建筑面积为1303.25平方米，装卸区大棚405平方米，清洗区大棚162平方米。</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洛满镇人民政府</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450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kern w:val="0"/>
                <w:sz w:val="21"/>
                <w:szCs w:val="21"/>
              </w:rPr>
            </w:pPr>
            <w:r>
              <w:rPr>
                <w:rFonts w:hint="eastAsia" w:ascii="仿宋_GB2312" w:hAnsi="仿宋_GB2312" w:eastAsia="仿宋_GB2312" w:cs="仿宋_GB2312"/>
                <w:sz w:val="21"/>
                <w:szCs w:val="21"/>
              </w:rPr>
              <w:t>柳南区螺蛳粉原料竹笋产业示范区配套基础设施建设</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sz w:val="21"/>
                <w:szCs w:val="21"/>
              </w:rPr>
              <w:t>建设龙汉岭、洛满镇、太阳村镇等地的竹笋基地道路约</w:t>
            </w:r>
            <w:r>
              <w:rPr>
                <w:rFonts w:ascii="仿宋_GB2312" w:hAnsi="仿宋_GB2312" w:eastAsia="仿宋_GB2312" w:cs="仿宋_GB2312"/>
                <w:sz w:val="21"/>
                <w:szCs w:val="21"/>
              </w:rPr>
              <w:t>20</w:t>
            </w:r>
            <w:r>
              <w:rPr>
                <w:rFonts w:hint="eastAsia" w:ascii="仿宋_GB2312" w:hAnsi="仿宋_GB2312" w:eastAsia="仿宋_GB2312" w:cs="仿宋_GB2312"/>
                <w:sz w:val="21"/>
                <w:szCs w:val="21"/>
              </w:rPr>
              <w:t>km，包含路基、路面、涵洞工程等。项目保障农产品运输，带动建档立卡户参与产业发展，增加经济收入。</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柳南区农业农村局、太阳村镇、洛满镇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柳南区农业农村局、太阳村洛满镇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690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690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柳南区竹笋示范基地产业灌溉设施建设</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在龙汉岭林场、洛满林场竹笋示范基地新建机井及取水泵房，并配备相应机电设备，新建高位水池、闸阀井等。</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柳南区农业农村局、洛满镇人民政府</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484</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484</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234</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sz w:val="21"/>
                <w:szCs w:val="21"/>
              </w:rPr>
            </w:pPr>
            <w:r>
              <w:rPr>
                <w:rFonts w:hint="eastAsia" w:ascii="仿宋_GB2312" w:hAnsi="仿宋_GB2312" w:eastAsia="仿宋_GB2312" w:cs="仿宋_GB2312"/>
                <w:sz w:val="21"/>
                <w:szCs w:val="21"/>
              </w:rPr>
              <w:t>柳南区竹笋种植示范基地配套用电工程</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国家现代农业产业园万亩竹笋示范基地（龙汉岭林场）、安装配电变压器、电线杆；在洛满林场，新建高压电线路1000米，电线杆21根，25KVA变压器一台；在太阳村镇豆角酸笋分拣场安装配电变压器1台，保障竹笋地头冷链、分拣、清洗用电。</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柳南区农业农村局、洛满镇人民政府</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yellow"/>
              </w:rPr>
            </w:pPr>
            <w:r>
              <w:rPr>
                <w:rFonts w:hint="eastAsia" w:ascii="仿宋_GB2312" w:hAnsi="仿宋_GB2312" w:eastAsia="仿宋_GB2312" w:cs="仿宋_GB2312"/>
                <w:color w:val="000000"/>
                <w:kern w:val="0"/>
                <w:sz w:val="21"/>
                <w:szCs w:val="21"/>
              </w:rPr>
              <w:t>太阳村镇</w:t>
            </w:r>
            <w:r>
              <w:rPr>
                <w:rFonts w:hint="eastAsia" w:ascii="仿宋_GB2312" w:hAnsi="仿宋_GB2312" w:eastAsia="仿宋_GB2312" w:cs="仿宋_GB2312"/>
                <w:kern w:val="0"/>
                <w:sz w:val="21"/>
                <w:szCs w:val="21"/>
              </w:rPr>
              <w:t>蔬菜基地冷链设施建设</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在太阳村镇蔬菜副食品有限公司蔬菜基地建设地头冷库2座，约150立方米，解决蔬菜冷藏保鲜。</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柳南区蔬菜公司百乐基地设施棚建设项目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在太阳村镇蔬菜副食品有限公司蔬菜基地建设设施棚244座。</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430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280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280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color w:val="000000"/>
                <w:kern w:val="0"/>
                <w:sz w:val="21"/>
                <w:szCs w:val="21"/>
              </w:rPr>
              <w:t>太阳村镇</w:t>
            </w:r>
            <w:r>
              <w:rPr>
                <w:rFonts w:hint="eastAsia" w:ascii="仿宋_GB2312" w:hAnsi="仿宋_GB2312" w:eastAsia="仿宋_GB2312" w:cs="仿宋_GB2312"/>
                <w:kern w:val="0"/>
                <w:sz w:val="21"/>
                <w:szCs w:val="21"/>
              </w:rPr>
              <w:t>蔬菜基地配套基础设施建设</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新建基地内产业道路2条，完善生产基地基础设施。</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太阳村镇人民政府</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220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220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食用菌基地建设项目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在太阳村镇修整桐村村委原有的蔬菜设施大棚（约5亩），按照能够四季生产食用菌的标准来建设大棚3个；在流山镇大石村土地平整，新建种植大棚5个，配套安装相应水电设施。</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太阳村镇人民政府、流山镇人民政府</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太阳村镇、流山镇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65</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65</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65</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kern w:val="0"/>
                <w:sz w:val="21"/>
                <w:szCs w:val="21"/>
              </w:rPr>
              <w:t>太阳村镇四合村木耳基地产能提升项目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增加自动化菌棒生产线2条，建设恒温养菌房、冷却室，增加高压灭菌柜、锅炉、自动化机械设备等。</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390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390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390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太阳村镇木耳基地配电工程</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在国家现代农业产业园木耳基地安装配电变压器1台，完善必须的配套设施，保障木耳基地菌包生产培育用电。</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35</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35</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35</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食用菌基地配套基础设施建设</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在四合村木耳基地建设总长约400米产业道路，硬化路面，保障农产品运输。</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柳南区农业农村局、太阳村镇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60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30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16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柳南区螺蛳粉产业技能指导服务</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通过政府向专业培训机构购买服务的方式，培养150-200名螺蛳粉相关产业研发的技能型人才。</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柳南工业信息化局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hint="eastAsia" w:ascii="仿宋_GB2312" w:hAnsi="仿宋_GB2312" w:eastAsia="仿宋_GB2312" w:cs="仿宋_GB2312"/>
                <w:kern w:val="0"/>
                <w:sz w:val="21"/>
                <w:szCs w:val="21"/>
              </w:rPr>
              <w:t>柳南区工业信息化局</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45</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45</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45</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仿宋_GB2312" w:hAnsi="仿宋_GB2312" w:eastAsia="仿宋_GB2312" w:cs="仿宋_GB2312"/>
                <w:kern w:val="0"/>
                <w:sz w:val="21"/>
                <w:szCs w:val="21"/>
              </w:rPr>
            </w:pPr>
            <w:r>
              <w:rPr>
                <w:rFonts w:ascii="仿宋_GB2312" w:hAnsi="仿宋_GB2312" w:eastAsia="仿宋_GB2312" w:cs="仿宋_GB2312"/>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优质稻种植基地产业配套灌溉设施项目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建设太阳村镇、洛满镇、流山镇优质稻生产基地灌溉水渠内宽1.2米，高1.2米．灌溉面积约75000亩。</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太阳村镇、洛满镇、流山镇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太阳村镇、洛满镇、流山镇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2370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2370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800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770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hint="eastAsia" w:ascii="黑体" w:hAnsi="黑体" w:eastAsia="黑体" w:cs="黑体"/>
                <w:kern w:val="0"/>
                <w:sz w:val="21"/>
                <w:szCs w:val="21"/>
              </w:rPr>
              <w:t>二</w:t>
            </w:r>
          </w:p>
        </w:tc>
        <w:tc>
          <w:tcPr>
            <w:tcW w:w="15175" w:type="dxa"/>
            <w:gridSpan w:val="15"/>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rPr>
                <w:rFonts w:ascii="黑体" w:hAnsi="黑体" w:eastAsia="黑体" w:cs="黑体"/>
                <w:kern w:val="0"/>
                <w:sz w:val="21"/>
                <w:szCs w:val="21"/>
              </w:rPr>
            </w:pPr>
            <w:r>
              <w:rPr>
                <w:rFonts w:hint="eastAsia" w:ascii="黑体" w:hAnsi="黑体" w:eastAsia="黑体" w:cs="黑体"/>
                <w:kern w:val="0"/>
                <w:sz w:val="21"/>
                <w:szCs w:val="21"/>
              </w:rPr>
              <w:t>家禽产业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柳南区家禽产业先建后补项目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新建</w:t>
            </w: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120</w:t>
            </w: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鼓励农户在家禽现代化示范区与龙头企业合作，对经营主体扶持农户改扩建栏舍予以先建后补。</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太阳村镇、洛满镇、流山镇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420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120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120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柳南区实隆鸭产业合作项目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入股、柳南区实隆鸭产业示范园、屠宰生产线等项目，试点合作经营，发展壮大村集体经济。</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太阳村镇、洛满镇、流山镇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柳南区农业农村局、太阳村镇、洛满镇、流山镇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1700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700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800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广西实隆农牧集团麻鸭精品鸭种培育研究产业化基地建设项目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新建种鸭繁育场1个，完成平整土地、新建钢架结构育种大棚46000平方米。</w:t>
            </w:r>
          </w:p>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建设排水系统、场内道路建设。</w:t>
            </w:r>
          </w:p>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生产配套用房、栏舍配套设施等。</w:t>
            </w:r>
          </w:p>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柳南区农业农村局、太阳村镇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2700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1200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1500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1800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洛满镇蛋鸡养殖示范基地建设项目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在洛满镇建设5栋50万羽的种鸡、蛋鸡养殖基地。</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3880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1380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2500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380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1500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1500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流山镇流山村家禽养殖基地建设项目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在流山镇流山村上近屯建设一个养鸭场，占地30亩，养殖规模2万羽。</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650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650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高兴村家禽养殖产业示范基地（二期）建设项目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扩建2个钢架棚养鸭场养殖，完善水、电、路配套设施。</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长龙家禽现代化养殖示范区生产用水管网建设</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在长龙家禽现代化养殖示范区建设生产用水管网。</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柳南区金太阳集团</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1480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1200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280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1200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280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柳南区洛满镇家禽养殖园产业基地配套设施项目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修建周边水渠、产业道路硬化；新增电缆、电杆和1000kva箱式变压器1台；修建排洪渠2000米，排水渠1200米，硬化产业道路2500米，水井及蓄水池1500立方米。</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380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380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290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高兴村家禽养殖产业示范基地配套设施及供电设施项目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完善高兴村养殖基地的道路、围栏、排水沟、畜禽饮水设施、生产管理用房、供电设施等</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柳南区农业农村局、洛满镇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150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150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柳南区长龙村实隆鸭产业示范区配套设施及供电设施建设</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新建C25砼路1.357km，浆砌石挡土墙50m，0.4m*0.45m（B*H）排水沟1.357km，DN800过路涵管1处，DN400过路涵管2处；在太阳村镇百乐村家禽养殖示范园安装配电变压器1台；新建3.5米宽园区道路2500米，过路涵管19处。</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350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350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170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80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流山镇新艾村家禽养殖产业示范基地项目配套设施建设</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硬化道路80米，宽3.5米；通透式围栏140米（高约3米）；其他基础配套设施。</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hint="eastAsia" w:ascii="黑体" w:hAnsi="黑体" w:eastAsia="黑体" w:cs="黑体"/>
                <w:kern w:val="0"/>
                <w:sz w:val="21"/>
                <w:szCs w:val="21"/>
              </w:rPr>
              <w:t>三</w:t>
            </w:r>
          </w:p>
        </w:tc>
        <w:tc>
          <w:tcPr>
            <w:tcW w:w="15175" w:type="dxa"/>
            <w:gridSpan w:val="15"/>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left"/>
              <w:rPr>
                <w:rFonts w:ascii="黑体" w:hAnsi="黑体" w:eastAsia="黑体" w:cs="黑体"/>
                <w:kern w:val="0"/>
                <w:sz w:val="21"/>
                <w:szCs w:val="21"/>
              </w:rPr>
            </w:pPr>
            <w:r>
              <w:rPr>
                <w:rFonts w:hint="eastAsia" w:ascii="黑体" w:hAnsi="黑体" w:eastAsia="黑体" w:cs="黑体"/>
                <w:color w:val="000000"/>
                <w:kern w:val="0"/>
                <w:sz w:val="21"/>
                <w:szCs w:val="21"/>
              </w:rPr>
              <w:t>桑蚕产业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3"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流山镇“稻海桑田”桑蚕产业示范区创建项目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建设大蚕标准化养殖房、管理用房、桑蚕文化中心等设施；建设桑苗育种基地500亩，配套水肥一体化设施、绿色防控技术应用桑叶种植园5000亩，完善产业道路5000米、配套水电等设施。</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柳南区农业农村、柳南区发改局、流山镇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30</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流山镇桑蚕产业示范园配套设施建设项目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建设5个冷库用于存储蚕茧，总容量1000吨，总占地3000平方米。</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610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610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610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hint="eastAsia" w:ascii="黑体" w:hAnsi="黑体" w:eastAsia="黑体" w:cs="黑体"/>
                <w:kern w:val="0"/>
                <w:sz w:val="21"/>
                <w:szCs w:val="21"/>
              </w:rPr>
              <w:t>四</w:t>
            </w:r>
          </w:p>
        </w:tc>
        <w:tc>
          <w:tcPr>
            <w:tcW w:w="15175" w:type="dxa"/>
            <w:gridSpan w:val="15"/>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left"/>
              <w:rPr>
                <w:rFonts w:ascii="黑体" w:hAnsi="黑体" w:eastAsia="黑体" w:cs="黑体"/>
                <w:kern w:val="0"/>
                <w:sz w:val="21"/>
                <w:szCs w:val="21"/>
              </w:rPr>
            </w:pPr>
            <w:r>
              <w:rPr>
                <w:rFonts w:hint="eastAsia" w:ascii="黑体" w:hAnsi="黑体" w:eastAsia="黑体" w:cs="黑体"/>
                <w:kern w:val="0"/>
                <w:sz w:val="21"/>
                <w:szCs w:val="21"/>
              </w:rPr>
              <w:t>其他特色产业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31</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柳南区洛满镇露南村大型肉牛养殖基地建设项目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占地101亩，新建肉牛1000头的牛舍、牛场功能区占地约40000平方米（60亩），配套饲料仓库等建筑物占地约6600平方米（10亩）；种牛养殖栏舍等</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2900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1900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1700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32</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柳南区洛满镇中牛饲料生产线建设项目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新建一条饲料厂生产线，带动洛满镇肉牛养殖。</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洛满镇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700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33</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柳南区流山镇大石村沉浸式农业旅游项目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计划占地面积3100平方米，修建园区道路（车行、人行）等配套基础设施、打造汽车营地、星空帐篷、集装箱式的智慧民宿等乡村旅游设施，利用旱改水200亩种植油菜花和水稻，打造网红打卡地等，在大石码头附近打造水上乐园，通过以上改造打造一个集吃住游玩为一体的生态乡村旅游度假区，以政府+引进社会资本+村委+农户的模式盘活建设运营，着力打造柳州郊区周边一日游。建设养蚕房、管理用房、桑蚕文化中心等设施，占地共3亩；建设桑苗育种基地，占地10亩；打造500亩桑叶种植园，配套水肥一体化设施。</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1300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800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800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34</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柳南区高标准优质油茶种植以奖代补项目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鼓励经营主体打造油茶种植示范基地，大力发展油茶产业，对油茶种植示范基地约1050亩进行补助，0.15万元/亩。</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柳南区自然资源局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柳南区自然资源局</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160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160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160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center"/>
              <w:rPr>
                <w:rFonts w:ascii="黑体" w:hAnsi="黑体" w:eastAsia="黑体" w:cs="黑体"/>
                <w:kern w:val="0"/>
                <w:sz w:val="21"/>
                <w:szCs w:val="21"/>
              </w:rPr>
            </w:pPr>
            <w:r>
              <w:rPr>
                <w:rFonts w:hint="eastAsia" w:ascii="黑体" w:hAnsi="黑体" w:eastAsia="黑体" w:cs="黑体"/>
                <w:kern w:val="0"/>
                <w:sz w:val="21"/>
                <w:szCs w:val="21"/>
              </w:rPr>
              <w:t>五</w:t>
            </w:r>
          </w:p>
        </w:tc>
        <w:tc>
          <w:tcPr>
            <w:tcW w:w="15175" w:type="dxa"/>
            <w:gridSpan w:val="15"/>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jc w:val="left"/>
              <w:rPr>
                <w:rFonts w:ascii="黑体" w:hAnsi="黑体" w:eastAsia="黑体" w:cs="黑体"/>
                <w:kern w:val="0"/>
                <w:sz w:val="21"/>
                <w:szCs w:val="21"/>
              </w:rPr>
            </w:pPr>
            <w:r>
              <w:rPr>
                <w:rFonts w:hint="eastAsia" w:ascii="黑体" w:hAnsi="黑体" w:eastAsia="黑体" w:cs="黑体"/>
                <w:kern w:val="0"/>
                <w:sz w:val="21"/>
                <w:szCs w:val="21"/>
              </w:rPr>
              <w:t>其他重点产业项目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35</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到户产业以奖代补</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default" w:ascii="仿宋_GB2312" w:hAnsi="仿宋_GB2312" w:eastAsia="仿宋_GB2312" w:cs="仿宋_GB2312"/>
                <w:color w:val="000000"/>
                <w:sz w:val="21"/>
                <w:szCs w:val="21"/>
                <w:lang w:val="en-US" w:eastAsia="zh-CN"/>
              </w:rPr>
            </w:pP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柳南区农业农村局、柳南区自然资源局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太阳村镇、洛满镇、流山镇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800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800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r>
              <w:rPr>
                <w:rFonts w:ascii="仿宋_GB2312" w:hAnsi="仿宋_GB2312" w:eastAsia="仿宋_GB2312" w:cs="仿宋_GB2312"/>
                <w:color w:val="000000"/>
                <w:sz w:val="21"/>
                <w:szCs w:val="21"/>
                <w:highlight w:val="none"/>
              </w:rPr>
              <w:t>36</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柳南区农业废弃物综合利用项目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建设农业废弃物原料粉碎车间、粉料仓、制粒车间、原料堆放车间、产品存储车间、辅助设施，以及供水、供电用房及设施等。项目建成后，实现年回收</w:t>
            </w:r>
            <w:r>
              <w:rPr>
                <w:rFonts w:ascii="仿宋_GB2312" w:hAnsi="仿宋_GB2312" w:eastAsia="仿宋_GB2312" w:cs="仿宋_GB2312"/>
                <w:color w:val="000000"/>
                <w:sz w:val="21"/>
                <w:szCs w:val="21"/>
                <w:highlight w:val="none"/>
              </w:rPr>
              <w:t xml:space="preserve"> 2 </w:t>
            </w:r>
            <w:r>
              <w:rPr>
                <w:rFonts w:hint="eastAsia" w:ascii="仿宋_GB2312" w:hAnsi="仿宋_GB2312" w:eastAsia="仿宋_GB2312" w:cs="仿宋_GB2312"/>
                <w:color w:val="000000"/>
                <w:sz w:val="21"/>
                <w:szCs w:val="21"/>
                <w:highlight w:val="none"/>
              </w:rPr>
              <w:t>万吨秸秆、笋壳、</w:t>
            </w:r>
            <w:r>
              <w:rPr>
                <w:rFonts w:ascii="仿宋_GB2312" w:hAnsi="仿宋_GB2312" w:eastAsia="仿宋_GB2312" w:cs="仿宋_GB2312"/>
                <w:color w:val="000000"/>
                <w:sz w:val="21"/>
                <w:szCs w:val="21"/>
                <w:highlight w:val="none"/>
              </w:rPr>
              <w:t xml:space="preserve"> 3 </w:t>
            </w:r>
            <w:r>
              <w:rPr>
                <w:rFonts w:hint="eastAsia" w:ascii="仿宋_GB2312" w:hAnsi="仿宋_GB2312" w:eastAsia="仿宋_GB2312" w:cs="仿宋_GB2312"/>
                <w:color w:val="000000"/>
                <w:sz w:val="21"/>
                <w:szCs w:val="21"/>
                <w:highlight w:val="none"/>
              </w:rPr>
              <w:t>万吨蔗叶，形成年产</w:t>
            </w:r>
            <w:r>
              <w:rPr>
                <w:rFonts w:ascii="仿宋_GB2312" w:hAnsi="仿宋_GB2312" w:eastAsia="仿宋_GB2312" w:cs="仿宋_GB2312"/>
                <w:color w:val="000000"/>
                <w:sz w:val="21"/>
                <w:szCs w:val="21"/>
                <w:highlight w:val="none"/>
              </w:rPr>
              <w:t xml:space="preserve"> 5 </w:t>
            </w:r>
            <w:r>
              <w:rPr>
                <w:rFonts w:hint="eastAsia" w:ascii="仿宋_GB2312" w:hAnsi="仿宋_GB2312" w:eastAsia="仿宋_GB2312" w:cs="仿宋_GB2312"/>
                <w:color w:val="000000"/>
                <w:sz w:val="21"/>
                <w:szCs w:val="21"/>
                <w:highlight w:val="none"/>
              </w:rPr>
              <w:t>万吨秸秆生物质燃料的生产能力。</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r>
              <w:rPr>
                <w:rFonts w:hint="eastAsia" w:ascii="仿宋_GB2312" w:hAnsi="仿宋_GB2312" w:eastAsia="仿宋_GB2312" w:cs="仿宋_GB2312"/>
                <w:color w:val="000000"/>
                <w:sz w:val="21"/>
                <w:szCs w:val="21"/>
                <w:highlight w:val="none"/>
              </w:rPr>
              <w:t>柳南区乡村振兴局、柳南生态环境局、柳南区农业农村局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柳南生态环境局、流山镇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2200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700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1500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700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rPr>
              <w:t>37</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rPr>
              <w:t>柳南区主导产业技术技能培训服务项目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eastAsia="zh-CN"/>
              </w:rPr>
            </w:pPr>
            <w:r>
              <w:rPr>
                <w:rFonts w:hint="eastAsia" w:ascii="仿宋_GB2312" w:hAnsi="仿宋_GB2312" w:eastAsia="仿宋_GB2312" w:cs="仿宋_GB2312"/>
                <w:color w:val="000000"/>
                <w:sz w:val="21"/>
                <w:szCs w:val="21"/>
                <w:lang w:eastAsia="zh-CN"/>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政府向科研单位、大专职业院校购买技术服务，为经营主体、产业农民提供技术指导。</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柳南区农业农村局、柳南区自然资源局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柳南区农业农村局、柳南区自然资源局</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130</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90</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40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40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10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40</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8"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ascii="仿宋_GB2312" w:hAnsi="仿宋_GB2312" w:eastAsia="仿宋_GB2312" w:cs="仿宋_GB2312"/>
                <w:color w:val="000000"/>
                <w:sz w:val="21"/>
                <w:szCs w:val="21"/>
              </w:rPr>
              <w:t>3</w:t>
            </w:r>
            <w:r>
              <w:rPr>
                <w:rFonts w:hint="eastAsia" w:ascii="仿宋_GB2312" w:hAnsi="仿宋_GB2312" w:eastAsia="仿宋_GB2312" w:cs="仿宋_GB2312"/>
                <w:color w:val="000000"/>
                <w:sz w:val="21"/>
                <w:szCs w:val="21"/>
                <w:lang w:val="en-US" w:eastAsia="zh-CN"/>
              </w:rPr>
              <w:t>8</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农业气象指导购买服务</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通过向专业的气象监测单位购买服务，对我区农业生产提供专业的农业气象指导，提高农民应用科学技术应对极端天气对农业生产的影响，降低农业生产风险。</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柳南区乡村振兴局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柳南区乡村振兴局</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default"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51</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default"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51</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r>
              <w:rPr>
                <w:rFonts w:ascii="仿宋_GB2312" w:hAnsi="仿宋_GB2312" w:eastAsia="仿宋_GB2312" w:cs="仿宋_GB2312"/>
                <w:color w:val="000000"/>
                <w:sz w:val="21"/>
                <w:szCs w:val="21"/>
                <w:highlight w:val="none"/>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highlight w:val="none"/>
              </w:rPr>
            </w:pPr>
            <w:r>
              <w:rPr>
                <w:rFonts w:ascii="仿宋_GB2312" w:hAnsi="仿宋_GB2312" w:eastAsia="仿宋_GB2312" w:cs="仿宋_GB2312"/>
                <w:color w:val="000000"/>
                <w:sz w:val="21"/>
                <w:szCs w:val="21"/>
                <w:highlight w:val="none"/>
              </w:rPr>
              <w:t>17</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default"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17</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default" w:ascii="仿宋_GB2312" w:hAnsi="仿宋_GB2312" w:eastAsia="仿宋_GB2312" w:cs="仿宋_GB2312"/>
                <w:color w:val="000000"/>
                <w:sz w:val="21"/>
                <w:szCs w:val="21"/>
                <w:highlight w:val="none"/>
                <w:lang w:val="en-US" w:eastAsia="zh-CN"/>
              </w:rPr>
            </w:pPr>
            <w:r>
              <w:rPr>
                <w:rFonts w:hint="eastAsia" w:ascii="仿宋_GB2312" w:hAnsi="仿宋_GB2312" w:eastAsia="仿宋_GB2312" w:cs="仿宋_GB2312"/>
                <w:color w:val="000000"/>
                <w:sz w:val="21"/>
                <w:szCs w:val="21"/>
                <w:highlight w:val="no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5"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hint="eastAsia" w:ascii="仿宋_GB2312" w:hAnsi="仿宋_GB2312" w:eastAsia="仿宋_GB2312" w:cs="仿宋_GB2312"/>
                <w:color w:val="000000"/>
                <w:sz w:val="21"/>
                <w:szCs w:val="21"/>
                <w:lang w:val="en-US" w:eastAsia="zh-CN"/>
              </w:rPr>
            </w:pPr>
            <w:r>
              <w:rPr>
                <w:rFonts w:ascii="仿宋_GB2312" w:hAnsi="仿宋_GB2312" w:eastAsia="仿宋_GB2312" w:cs="仿宋_GB2312"/>
                <w:color w:val="000000"/>
                <w:sz w:val="21"/>
                <w:szCs w:val="21"/>
              </w:rPr>
              <w:t>3</w:t>
            </w:r>
            <w:r>
              <w:rPr>
                <w:rFonts w:hint="eastAsia" w:ascii="仿宋_GB2312" w:hAnsi="仿宋_GB2312" w:eastAsia="仿宋_GB2312" w:cs="仿宋_GB2312"/>
                <w:color w:val="000000"/>
                <w:sz w:val="21"/>
                <w:szCs w:val="21"/>
                <w:lang w:val="en-US" w:eastAsia="zh-CN"/>
              </w:rPr>
              <w:t>9</w:t>
            </w:r>
          </w:p>
        </w:tc>
        <w:tc>
          <w:tcPr>
            <w:tcW w:w="12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柳南区农产品展销对接项目</w:t>
            </w:r>
          </w:p>
        </w:tc>
        <w:tc>
          <w:tcPr>
            <w:tcW w:w="51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80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lang w:eastAsia="zh-CN"/>
              </w:rPr>
              <w:t>柳南区</w:t>
            </w:r>
          </w:p>
        </w:tc>
        <w:tc>
          <w:tcPr>
            <w:tcW w:w="7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p>
        </w:tc>
        <w:tc>
          <w:tcPr>
            <w:tcW w:w="321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举办特色农产品进社区（工厂）、特色农产品展销会、乡村振兴项目推介会等扶贫农产品产销对接活动。</w:t>
            </w:r>
          </w:p>
        </w:tc>
        <w:tc>
          <w:tcPr>
            <w:tcW w:w="785"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柳南区乡村振兴局、柳南区农业农村局、柳南区商务局</w:t>
            </w:r>
          </w:p>
        </w:tc>
        <w:tc>
          <w:tcPr>
            <w:tcW w:w="94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hint="eastAsia" w:ascii="仿宋_GB2312" w:hAnsi="仿宋_GB2312" w:eastAsia="仿宋_GB2312" w:cs="仿宋_GB2312"/>
                <w:color w:val="000000"/>
                <w:sz w:val="21"/>
                <w:szCs w:val="21"/>
              </w:rPr>
              <w:t>柳南区乡村振兴局、柳南区农业农村局、柳南区商务局、太阳村镇、洛满镇、流山镇</w:t>
            </w:r>
          </w:p>
        </w:tc>
        <w:tc>
          <w:tcPr>
            <w:tcW w:w="98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55</w:t>
            </w:r>
          </w:p>
        </w:tc>
        <w:tc>
          <w:tcPr>
            <w:tcW w:w="900"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55</w:t>
            </w:r>
          </w:p>
        </w:tc>
        <w:tc>
          <w:tcPr>
            <w:tcW w:w="673"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901"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49</w:t>
            </w:r>
          </w:p>
        </w:tc>
        <w:tc>
          <w:tcPr>
            <w:tcW w:w="899"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0</w:t>
            </w:r>
          </w:p>
        </w:tc>
        <w:tc>
          <w:tcPr>
            <w:tcW w:w="867"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w:t>
            </w:r>
          </w:p>
        </w:tc>
        <w:tc>
          <w:tcPr>
            <w:tcW w:w="82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spacing w:line="300" w:lineRule="exact"/>
              <w:ind w:firstLine="0" w:firstLineChars="0"/>
              <w:textAlignment w:val="center"/>
              <w:rPr>
                <w:rFonts w:ascii="仿宋_GB2312" w:hAnsi="仿宋_GB2312" w:eastAsia="仿宋_GB2312" w:cs="仿宋_GB2312"/>
                <w:color w:val="000000"/>
                <w:sz w:val="21"/>
                <w:szCs w:val="21"/>
              </w:rPr>
            </w:pPr>
            <w:r>
              <w:rPr>
                <w:rFonts w:ascii="仿宋_GB2312" w:hAnsi="仿宋_GB2312" w:eastAsia="仿宋_GB2312" w:cs="仿宋_GB2312"/>
                <w:color w:val="000000"/>
                <w:sz w:val="21"/>
                <w:szCs w:val="21"/>
              </w:rPr>
              <w:t>3</w:t>
            </w:r>
          </w:p>
        </w:tc>
      </w:tr>
    </w:tbl>
    <w:p>
      <w:pPr>
        <w:widowControl/>
        <w:spacing w:line="240" w:lineRule="auto"/>
        <w:ind w:firstLine="0" w:firstLineChars="0"/>
        <w:jc w:val="left"/>
      </w:pPr>
      <w:r>
        <w:br w:type="page"/>
      </w:r>
    </w:p>
    <w:p>
      <w:pPr>
        <w:pStyle w:val="2"/>
        <w:jc w:val="left"/>
      </w:pPr>
      <w:bookmarkStart w:id="93" w:name="_Toc130038300"/>
      <w:bookmarkStart w:id="94" w:name="_Toc137565693"/>
      <w:bookmarkStart w:id="95" w:name="_Toc150595466"/>
      <w:r>
        <w:rPr>
          <w:rFonts w:hint="eastAsia"/>
        </w:rPr>
        <w:t>附图</w:t>
      </w:r>
      <w:bookmarkEnd w:id="93"/>
      <w:bookmarkEnd w:id="94"/>
      <w:bookmarkEnd w:id="95"/>
    </w:p>
    <w:p>
      <w:pPr>
        <w:spacing w:line="240" w:lineRule="auto"/>
        <w:ind w:firstLine="0" w:firstLineChars="0"/>
        <w:jc w:val="center"/>
      </w:pPr>
      <w:r>
        <w:rPr>
          <w:rFonts w:hint="eastAsia"/>
        </w:rPr>
        <w:drawing>
          <wp:inline distT="0" distB="0" distL="0" distR="0">
            <wp:extent cx="6420485" cy="45396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49484" cy="4560389"/>
                    </a:xfrm>
                    <a:prstGeom prst="rect">
                      <a:avLst/>
                    </a:prstGeom>
                  </pic:spPr>
                </pic:pic>
              </a:graphicData>
            </a:graphic>
          </wp:inline>
        </w:drawing>
      </w:r>
    </w:p>
    <w:p>
      <w:pPr>
        <w:spacing w:line="240" w:lineRule="auto"/>
        <w:ind w:firstLine="0" w:firstLineChars="0"/>
        <w:jc w:val="center"/>
      </w:pPr>
      <w:r>
        <w:rPr>
          <w:rFonts w:hint="eastAsia"/>
        </w:rPr>
        <w:t>柳州螺蛳粉产业现状图</w:t>
      </w:r>
    </w:p>
    <w:p>
      <w:pPr>
        <w:spacing w:line="240" w:lineRule="auto"/>
        <w:ind w:firstLine="0" w:firstLineChars="0"/>
        <w:jc w:val="center"/>
      </w:pPr>
      <w:r>
        <w:rPr>
          <w:rFonts w:hint="eastAsia"/>
        </w:rPr>
        <w:drawing>
          <wp:inline distT="0" distB="0" distL="0" distR="0">
            <wp:extent cx="6997065" cy="49472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11998" cy="4958138"/>
                    </a:xfrm>
                    <a:prstGeom prst="rect">
                      <a:avLst/>
                    </a:prstGeom>
                  </pic:spPr>
                </pic:pic>
              </a:graphicData>
            </a:graphic>
          </wp:inline>
        </w:drawing>
      </w:r>
    </w:p>
    <w:p>
      <w:pPr>
        <w:spacing w:line="240" w:lineRule="auto"/>
        <w:ind w:firstLine="0" w:firstLineChars="0"/>
        <w:jc w:val="center"/>
      </w:pPr>
      <w:r>
        <w:rPr>
          <w:rFonts w:hint="eastAsia"/>
        </w:rPr>
        <w:t>优质稻产业现状图</w:t>
      </w:r>
    </w:p>
    <w:p>
      <w:pPr>
        <w:spacing w:line="240" w:lineRule="auto"/>
        <w:ind w:firstLine="0" w:firstLineChars="0"/>
        <w:jc w:val="center"/>
      </w:pPr>
      <w:r>
        <w:rPr>
          <w:rFonts w:hint="eastAsia"/>
        </w:rPr>
        <w:drawing>
          <wp:inline distT="0" distB="0" distL="0" distR="0">
            <wp:extent cx="6848475" cy="48425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6452" cy="4848153"/>
                    </a:xfrm>
                    <a:prstGeom prst="rect">
                      <a:avLst/>
                    </a:prstGeom>
                  </pic:spPr>
                </pic:pic>
              </a:graphicData>
            </a:graphic>
          </wp:inline>
        </w:drawing>
      </w:r>
    </w:p>
    <w:p>
      <w:pPr>
        <w:spacing w:line="240" w:lineRule="auto"/>
        <w:ind w:firstLine="0" w:firstLineChars="0"/>
        <w:jc w:val="center"/>
      </w:pPr>
      <w:r>
        <w:rPr>
          <w:rFonts w:hint="eastAsia"/>
        </w:rPr>
        <w:t>桑蚕产业现状图</w:t>
      </w:r>
    </w:p>
    <w:p>
      <w:pPr>
        <w:spacing w:line="240" w:lineRule="auto"/>
        <w:ind w:firstLine="0" w:firstLineChars="0"/>
        <w:jc w:val="center"/>
      </w:pPr>
      <w:r>
        <w:rPr>
          <w:rFonts w:hint="eastAsia"/>
        </w:rPr>
        <w:drawing>
          <wp:inline distT="0" distB="0" distL="0" distR="0">
            <wp:extent cx="6833235" cy="4831715"/>
            <wp:effectExtent l="0" t="0" r="571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33326" cy="4831831"/>
                    </a:xfrm>
                    <a:prstGeom prst="rect">
                      <a:avLst/>
                    </a:prstGeom>
                  </pic:spPr>
                </pic:pic>
              </a:graphicData>
            </a:graphic>
          </wp:inline>
        </w:drawing>
      </w:r>
    </w:p>
    <w:p>
      <w:pPr>
        <w:spacing w:line="240" w:lineRule="auto"/>
        <w:ind w:firstLine="0" w:firstLineChars="0"/>
        <w:jc w:val="center"/>
      </w:pPr>
      <w:r>
        <w:rPr>
          <w:rFonts w:hint="eastAsia"/>
        </w:rPr>
        <w:t>肉鸭产业现状图</w:t>
      </w:r>
    </w:p>
    <w:p>
      <w:pPr>
        <w:spacing w:line="240" w:lineRule="auto"/>
        <w:ind w:firstLine="0" w:firstLineChars="0"/>
        <w:jc w:val="center"/>
      </w:pPr>
      <w:r>
        <w:rPr>
          <w:rFonts w:hint="eastAsia"/>
        </w:rPr>
        <w:drawing>
          <wp:inline distT="0" distB="0" distL="0" distR="0">
            <wp:extent cx="6607175" cy="467169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07592" cy="4672216"/>
                    </a:xfrm>
                    <a:prstGeom prst="rect">
                      <a:avLst/>
                    </a:prstGeom>
                  </pic:spPr>
                </pic:pic>
              </a:graphicData>
            </a:graphic>
          </wp:inline>
        </w:drawing>
      </w:r>
    </w:p>
    <w:p>
      <w:pPr>
        <w:spacing w:line="240" w:lineRule="auto"/>
        <w:ind w:firstLine="0" w:firstLineChars="0"/>
        <w:jc w:val="center"/>
      </w:pPr>
      <w:r>
        <w:rPr>
          <w:rFonts w:hint="eastAsia"/>
        </w:rPr>
        <w:t>蛋鸡产业现状图</w:t>
      </w:r>
    </w:p>
    <w:p>
      <w:pPr>
        <w:spacing w:line="240" w:lineRule="auto"/>
        <w:ind w:firstLine="0" w:firstLineChars="0"/>
        <w:jc w:val="center"/>
      </w:pPr>
      <w:r>
        <w:drawing>
          <wp:inline distT="0" distB="0" distL="0" distR="0">
            <wp:extent cx="6962775" cy="49231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63353" cy="4923773"/>
                    </a:xfrm>
                    <a:prstGeom prst="rect">
                      <a:avLst/>
                    </a:prstGeom>
                    <a:noFill/>
                    <a:ln>
                      <a:noFill/>
                    </a:ln>
                  </pic:spPr>
                </pic:pic>
              </a:graphicData>
            </a:graphic>
          </wp:inline>
        </w:drawing>
      </w:r>
    </w:p>
    <w:p>
      <w:pPr>
        <w:spacing w:line="240" w:lineRule="auto"/>
        <w:ind w:firstLine="0" w:firstLineChars="0"/>
        <w:jc w:val="center"/>
      </w:pPr>
      <w:r>
        <w:rPr>
          <w:rFonts w:hint="eastAsia"/>
        </w:rPr>
        <w:t>螺蛳粉原料产业发展布局图</w:t>
      </w:r>
      <w:r>
        <w:drawing>
          <wp:inline distT="0" distB="0" distL="0" distR="0">
            <wp:extent cx="6957695" cy="4919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57804" cy="4919850"/>
                    </a:xfrm>
                    <a:prstGeom prst="rect">
                      <a:avLst/>
                    </a:prstGeom>
                    <a:noFill/>
                    <a:ln>
                      <a:noFill/>
                    </a:ln>
                  </pic:spPr>
                </pic:pic>
              </a:graphicData>
            </a:graphic>
          </wp:inline>
        </w:drawing>
      </w:r>
    </w:p>
    <w:p>
      <w:pPr>
        <w:spacing w:line="240" w:lineRule="auto"/>
        <w:ind w:firstLine="0" w:firstLineChars="0"/>
        <w:jc w:val="center"/>
      </w:pPr>
      <w:r>
        <w:rPr>
          <w:rFonts w:hint="eastAsia"/>
        </w:rPr>
        <w:t>家禽产业发展布局图</w:t>
      </w:r>
    </w:p>
    <w:p>
      <w:pPr>
        <w:spacing w:line="240" w:lineRule="auto"/>
        <w:ind w:firstLine="0" w:firstLineChars="0"/>
        <w:jc w:val="center"/>
      </w:pPr>
      <w:r>
        <w:rPr>
          <w:rFonts w:hint="eastAsia"/>
        </w:rPr>
        <w:drawing>
          <wp:inline distT="0" distB="0" distL="0" distR="0">
            <wp:extent cx="6960235" cy="4921250"/>
            <wp:effectExtent l="0" t="0" r="12065"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73490" cy="4930910"/>
                    </a:xfrm>
                    <a:prstGeom prst="rect">
                      <a:avLst/>
                    </a:prstGeom>
                  </pic:spPr>
                </pic:pic>
              </a:graphicData>
            </a:graphic>
          </wp:inline>
        </w:drawing>
      </w:r>
    </w:p>
    <w:p>
      <w:pPr>
        <w:spacing w:line="240" w:lineRule="auto"/>
        <w:ind w:firstLine="0" w:firstLineChars="0"/>
        <w:jc w:val="center"/>
      </w:pPr>
      <w:r>
        <w:rPr>
          <w:rFonts w:hint="eastAsia"/>
        </w:rPr>
        <w:t>桑蚕产业发展布局图</w:t>
      </w:r>
    </w:p>
    <w:sectPr>
      <w:footerReference r:id="rId19" w:type="default"/>
      <w:footerReference r:id="rId20" w:type="even"/>
      <w:pgSz w:w="16838" w:h="11906" w:orient="landscape"/>
      <w:pgMar w:top="1588" w:right="1440" w:bottom="1287" w:left="1440" w:header="851" w:footer="992" w:gutter="0"/>
      <w:cols w:space="425" w:num="1"/>
      <w:docGrid w:type="line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1880AB4-9763-43BE-8A20-7AC1178035F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AD2C00CD-8524-4298-A3A0-50B2C89BB656}"/>
  </w:font>
  <w:font w:name="方正仿宋_GBK">
    <w:panose1 w:val="02000000000000000000"/>
    <w:charset w:val="86"/>
    <w:family w:val="script"/>
    <w:pitch w:val="default"/>
    <w:sig w:usb0="A00002BF" w:usb1="38CF7CFA" w:usb2="00082016" w:usb3="00000000" w:csb0="00040001" w:csb1="00000000"/>
    <w:embedRegular r:id="rId3" w:fontKey="{1A76FFB3-350D-46F7-898D-88440AF47D99}"/>
  </w:font>
  <w:font w:name="方正黑体_GBK">
    <w:panose1 w:val="03000509000000000000"/>
    <w:charset w:val="86"/>
    <w:family w:val="script"/>
    <w:pitch w:val="default"/>
    <w:sig w:usb0="00000001" w:usb1="080E0000" w:usb2="00000000" w:usb3="00000000" w:csb0="00040000" w:csb1="00000000"/>
    <w:embedRegular r:id="rId4" w:fontKey="{2990CB1B-CFBD-4529-BB94-3B134A4C622B}"/>
  </w:font>
  <w:font w:name="Cambria">
    <w:panose1 w:val="02040503050406030204"/>
    <w:charset w:val="00"/>
    <w:family w:val="roman"/>
    <w:pitch w:val="default"/>
    <w:sig w:usb0="E00002FF" w:usb1="400004FF" w:usb2="00000000" w:usb3="00000000" w:csb0="2000019F" w:csb1="00000000"/>
  </w:font>
  <w:font w:name="方正楷体_GBK">
    <w:altName w:val="Arial Unicode MS"/>
    <w:panose1 w:val="02000000000000000000"/>
    <w:charset w:val="86"/>
    <w:family w:val="script"/>
    <w:pitch w:val="default"/>
    <w:sig w:usb0="00000000" w:usb1="00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5" w:fontKey="{B26BC010-5231-420E-BC77-88641BF3CF44}"/>
  </w:font>
  <w:font w:name="楷体_GB2312">
    <w:panose1 w:val="02010609030101010101"/>
    <w:charset w:val="86"/>
    <w:family w:val="modern"/>
    <w:pitch w:val="default"/>
    <w:sig w:usb0="00000001" w:usb1="080E0000" w:usb2="00000000" w:usb3="00000000" w:csb0="00040000" w:csb1="00000000"/>
    <w:embedRegular r:id="rId6" w:fontKey="{26F99896-80C6-477E-AA4B-3B63CB45D339}"/>
  </w:font>
  <w:font w:name="仿宋_GB2312">
    <w:panose1 w:val="02010609030101010101"/>
    <w:charset w:val="86"/>
    <w:family w:val="modern"/>
    <w:pitch w:val="default"/>
    <w:sig w:usb0="00000001" w:usb1="080E0000" w:usb2="00000000" w:usb3="00000000" w:csb0="00040000" w:csb1="00000000"/>
    <w:embedRegular r:id="rId7" w:fontKey="{6AEBD9A5-5972-44D6-A10F-D5D1118F1A04}"/>
  </w:font>
  <w:font w:name="Arial Unicode MS">
    <w:panose1 w:val="020B0604020202020204"/>
    <w:charset w:val="86"/>
    <w:family w:val="swiss"/>
    <w:pitch w:val="default"/>
    <w:sig w:usb0="FFFFFFFF" w:usb1="E9FFFFFF" w:usb2="0000003F" w:usb3="00000000" w:csb0="603F01FF" w:csb1="FFFF0000"/>
    <w:embedRegular r:id="rId8" w:fontKey="{865FA21F-05BC-4F88-BEF6-E3B3BAB8D90E}"/>
  </w:font>
  <w:font w:name="Times New Roman Regular">
    <w:altName w:val="Times New Roman"/>
    <w:panose1 w:val="00000000000000000000"/>
    <w:charset w:val="00"/>
    <w:family w:val="auto"/>
    <w:pitch w:val="default"/>
    <w:sig w:usb0="00000000" w:usb1="00000000" w:usb2="00000000" w:usb3="00000000" w:csb0="00000000" w:csb1="00000000"/>
    <w:embedRegular r:id="rId9" w:fontKey="{574B0B33-30C5-4CE3-9C2F-BB021B972B91}"/>
  </w:font>
  <w:font w:name="方正小标宋简体">
    <w:panose1 w:val="02010601030101010101"/>
    <w:charset w:val="86"/>
    <w:family w:val="auto"/>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right"/>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rPr>
      <w:t>57</w:t>
    </w:r>
    <w:r>
      <w:rPr>
        <w:sz w:val="28"/>
        <w:szCs w:val="28"/>
      </w:rPr>
      <w:fldChar w:fldCharType="end"/>
    </w:r>
    <w:r>
      <w:rPr>
        <w:sz w:val="28"/>
        <w:szCs w:val="28"/>
      </w:rPr>
      <w:t xml:space="preserve"> </w:t>
    </w:r>
    <w:r>
      <w:rPr>
        <w:rFonts w:hint="eastAsia"/>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center"/>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rPr>
      <w:t>81</w:t>
    </w:r>
    <w:r>
      <w:rPr>
        <w:sz w:val="28"/>
        <w:szCs w:val="28"/>
      </w:rPr>
      <w:fldChar w:fldCharType="end"/>
    </w:r>
    <w:r>
      <w:rPr>
        <w:sz w:val="28"/>
        <w:szCs w:val="28"/>
      </w:rPr>
      <w:t xml:space="preserve"> </w:t>
    </w:r>
    <w:r>
      <w:rPr>
        <w:rFonts w:hint="eastAsia"/>
        <w:sz w:val="28"/>
        <w:szCs w:val="28"/>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center"/>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rPr>
      <w:t>82</w:t>
    </w:r>
    <w:r>
      <w:rPr>
        <w:sz w:val="28"/>
        <w:szCs w:val="28"/>
      </w:rPr>
      <w:fldChar w:fldCharType="end"/>
    </w:r>
    <w:r>
      <w:rPr>
        <w:sz w:val="28"/>
        <w:szCs w:val="28"/>
      </w:rPr>
      <w:t xml:space="preserve"> </w:t>
    </w:r>
    <w:r>
      <w:rPr>
        <w:rFonts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rPr>
      <w:t>2</w:t>
    </w:r>
    <w:r>
      <w:rPr>
        <w:sz w:val="28"/>
        <w:szCs w:val="28"/>
      </w:rPr>
      <w:fldChar w:fldCharType="end"/>
    </w:r>
    <w:r>
      <w:rPr>
        <w:sz w:val="28"/>
        <w:szCs w:val="28"/>
      </w:rPr>
      <w:t xml:space="preserve"> </w:t>
    </w:r>
    <w:r>
      <w:rPr>
        <w:rFonts w:hint="eastAsia"/>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right"/>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right"/>
      <w:rPr>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sz w:val="28"/>
        <w:szCs w:val="28"/>
      </w:rPr>
    </w:pPr>
    <w:r>
      <w:rPr>
        <w:rFonts w:hint="eastAsia"/>
        <w:sz w:val="28"/>
        <w:szCs w:val="28"/>
      </w:rPr>
      <w:t>—</w:t>
    </w:r>
    <w:r>
      <w:rPr>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rPr>
      <w:t>1</w:t>
    </w:r>
    <w:r>
      <w:rPr>
        <w:sz w:val="28"/>
        <w:szCs w:val="28"/>
      </w:rPr>
      <w:fldChar w:fldCharType="end"/>
    </w:r>
    <w:r>
      <w:rPr>
        <w:sz w:val="28"/>
        <w:szCs w:val="28"/>
      </w:rPr>
      <w:t xml:space="preserve"> </w:t>
    </w:r>
    <w:r>
      <w:rPr>
        <w:rFonts w:hint="eastAsia"/>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jc w:val="right"/>
      <w:rPr>
        <w:sz w:val="28"/>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0" w:firstLineChars="0"/>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tabs>
        <w:tab w:val="left" w:pos="5083"/>
      </w:tabs>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HorizontalSpacing w:val="160"/>
  <w:drawingGridVerticalSpacing w:val="435"/>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zZDAwNGU1OGQ0MGNhOTVjZWJjNGJlNzUxYmY3ZjcifQ=="/>
  </w:docVars>
  <w:rsids>
    <w:rsidRoot w:val="00A94136"/>
    <w:rsid w:val="000031C1"/>
    <w:rsid w:val="00004F76"/>
    <w:rsid w:val="00006A50"/>
    <w:rsid w:val="00026458"/>
    <w:rsid w:val="00034B82"/>
    <w:rsid w:val="0003799B"/>
    <w:rsid w:val="000411E7"/>
    <w:rsid w:val="0004438E"/>
    <w:rsid w:val="00050869"/>
    <w:rsid w:val="00054D7A"/>
    <w:rsid w:val="00073215"/>
    <w:rsid w:val="00085193"/>
    <w:rsid w:val="00090435"/>
    <w:rsid w:val="000A279D"/>
    <w:rsid w:val="000A2BDD"/>
    <w:rsid w:val="000A60FC"/>
    <w:rsid w:val="000C1E93"/>
    <w:rsid w:val="000C24D1"/>
    <w:rsid w:val="000C4AF3"/>
    <w:rsid w:val="000D08EE"/>
    <w:rsid w:val="000D1EF5"/>
    <w:rsid w:val="000D284F"/>
    <w:rsid w:val="000D44D7"/>
    <w:rsid w:val="000F3319"/>
    <w:rsid w:val="000F742F"/>
    <w:rsid w:val="001220DC"/>
    <w:rsid w:val="00122688"/>
    <w:rsid w:val="001442A4"/>
    <w:rsid w:val="00151749"/>
    <w:rsid w:val="001552C7"/>
    <w:rsid w:val="00156CF7"/>
    <w:rsid w:val="00171575"/>
    <w:rsid w:val="00172759"/>
    <w:rsid w:val="00173238"/>
    <w:rsid w:val="00185063"/>
    <w:rsid w:val="0018711C"/>
    <w:rsid w:val="001C2386"/>
    <w:rsid w:val="001C2D91"/>
    <w:rsid w:val="001D2D76"/>
    <w:rsid w:val="001E3BE9"/>
    <w:rsid w:val="001E4F58"/>
    <w:rsid w:val="00207726"/>
    <w:rsid w:val="00207D9A"/>
    <w:rsid w:val="00221EDE"/>
    <w:rsid w:val="00222465"/>
    <w:rsid w:val="00224ADB"/>
    <w:rsid w:val="0023510E"/>
    <w:rsid w:val="00236848"/>
    <w:rsid w:val="00241AAC"/>
    <w:rsid w:val="00242FB3"/>
    <w:rsid w:val="002479B3"/>
    <w:rsid w:val="00264489"/>
    <w:rsid w:val="00266621"/>
    <w:rsid w:val="00266E9C"/>
    <w:rsid w:val="00280A35"/>
    <w:rsid w:val="00286504"/>
    <w:rsid w:val="00287E03"/>
    <w:rsid w:val="002931FA"/>
    <w:rsid w:val="00295E63"/>
    <w:rsid w:val="002965B1"/>
    <w:rsid w:val="002A1809"/>
    <w:rsid w:val="002A2508"/>
    <w:rsid w:val="002A26D2"/>
    <w:rsid w:val="002C4529"/>
    <w:rsid w:val="002C4B2E"/>
    <w:rsid w:val="002C5DEC"/>
    <w:rsid w:val="002D65AF"/>
    <w:rsid w:val="002D7D71"/>
    <w:rsid w:val="002E1519"/>
    <w:rsid w:val="002E484C"/>
    <w:rsid w:val="002F0208"/>
    <w:rsid w:val="002F344A"/>
    <w:rsid w:val="002F4655"/>
    <w:rsid w:val="002F691A"/>
    <w:rsid w:val="003019E3"/>
    <w:rsid w:val="00307717"/>
    <w:rsid w:val="0031366F"/>
    <w:rsid w:val="00313C88"/>
    <w:rsid w:val="00320CDF"/>
    <w:rsid w:val="00323056"/>
    <w:rsid w:val="0033120B"/>
    <w:rsid w:val="003339E4"/>
    <w:rsid w:val="00337696"/>
    <w:rsid w:val="00346235"/>
    <w:rsid w:val="00363806"/>
    <w:rsid w:val="00366EFF"/>
    <w:rsid w:val="00373286"/>
    <w:rsid w:val="003770D3"/>
    <w:rsid w:val="00391B10"/>
    <w:rsid w:val="00393995"/>
    <w:rsid w:val="0039696A"/>
    <w:rsid w:val="003A78AE"/>
    <w:rsid w:val="003D2B82"/>
    <w:rsid w:val="003D3DC5"/>
    <w:rsid w:val="003E698C"/>
    <w:rsid w:val="003E6A94"/>
    <w:rsid w:val="003E6ECB"/>
    <w:rsid w:val="003E7300"/>
    <w:rsid w:val="003F2E8E"/>
    <w:rsid w:val="003F547E"/>
    <w:rsid w:val="00410C8C"/>
    <w:rsid w:val="00436392"/>
    <w:rsid w:val="00443DFE"/>
    <w:rsid w:val="00452E4D"/>
    <w:rsid w:val="00470092"/>
    <w:rsid w:val="00481117"/>
    <w:rsid w:val="004A6A61"/>
    <w:rsid w:val="004C0C77"/>
    <w:rsid w:val="004C2C1B"/>
    <w:rsid w:val="004C584D"/>
    <w:rsid w:val="004D19B7"/>
    <w:rsid w:val="004D465E"/>
    <w:rsid w:val="004E62DF"/>
    <w:rsid w:val="004F4740"/>
    <w:rsid w:val="004F6A46"/>
    <w:rsid w:val="00507755"/>
    <w:rsid w:val="005138DB"/>
    <w:rsid w:val="005169B2"/>
    <w:rsid w:val="00517CE4"/>
    <w:rsid w:val="00524A3E"/>
    <w:rsid w:val="00537BEA"/>
    <w:rsid w:val="005536AE"/>
    <w:rsid w:val="005603A1"/>
    <w:rsid w:val="00560810"/>
    <w:rsid w:val="00561DF5"/>
    <w:rsid w:val="005643AF"/>
    <w:rsid w:val="00565068"/>
    <w:rsid w:val="00577B20"/>
    <w:rsid w:val="00583AF6"/>
    <w:rsid w:val="00590A76"/>
    <w:rsid w:val="00594CEB"/>
    <w:rsid w:val="005A33E4"/>
    <w:rsid w:val="005C1FD4"/>
    <w:rsid w:val="005C2AE4"/>
    <w:rsid w:val="005D2A48"/>
    <w:rsid w:val="005D4341"/>
    <w:rsid w:val="005D4C15"/>
    <w:rsid w:val="005D55D7"/>
    <w:rsid w:val="005D698D"/>
    <w:rsid w:val="005F0134"/>
    <w:rsid w:val="005F16D4"/>
    <w:rsid w:val="005F5B79"/>
    <w:rsid w:val="00610ED1"/>
    <w:rsid w:val="006304D6"/>
    <w:rsid w:val="006348B1"/>
    <w:rsid w:val="00636C87"/>
    <w:rsid w:val="00640E67"/>
    <w:rsid w:val="00641F64"/>
    <w:rsid w:val="006442CB"/>
    <w:rsid w:val="0064605B"/>
    <w:rsid w:val="00651815"/>
    <w:rsid w:val="006536AC"/>
    <w:rsid w:val="00656065"/>
    <w:rsid w:val="00663BCD"/>
    <w:rsid w:val="00667661"/>
    <w:rsid w:val="00667DB0"/>
    <w:rsid w:val="00670AB9"/>
    <w:rsid w:val="0067712E"/>
    <w:rsid w:val="00695A2B"/>
    <w:rsid w:val="00696217"/>
    <w:rsid w:val="006B5433"/>
    <w:rsid w:val="006B6BA5"/>
    <w:rsid w:val="006D40C0"/>
    <w:rsid w:val="006D723D"/>
    <w:rsid w:val="006E5543"/>
    <w:rsid w:val="006E573A"/>
    <w:rsid w:val="006E60AE"/>
    <w:rsid w:val="006F745E"/>
    <w:rsid w:val="00703F7F"/>
    <w:rsid w:val="007051C6"/>
    <w:rsid w:val="007147AE"/>
    <w:rsid w:val="0072305F"/>
    <w:rsid w:val="00727D1B"/>
    <w:rsid w:val="007306F5"/>
    <w:rsid w:val="00734490"/>
    <w:rsid w:val="00737A74"/>
    <w:rsid w:val="00740FE8"/>
    <w:rsid w:val="00746625"/>
    <w:rsid w:val="007568FA"/>
    <w:rsid w:val="00766121"/>
    <w:rsid w:val="00771D29"/>
    <w:rsid w:val="00776F5F"/>
    <w:rsid w:val="00786165"/>
    <w:rsid w:val="00796614"/>
    <w:rsid w:val="007A0504"/>
    <w:rsid w:val="007A7C04"/>
    <w:rsid w:val="007B0F2D"/>
    <w:rsid w:val="007B481B"/>
    <w:rsid w:val="007C3B52"/>
    <w:rsid w:val="007C5673"/>
    <w:rsid w:val="007E2CB3"/>
    <w:rsid w:val="007F0BFB"/>
    <w:rsid w:val="007F746A"/>
    <w:rsid w:val="008011E0"/>
    <w:rsid w:val="00807A58"/>
    <w:rsid w:val="00813B29"/>
    <w:rsid w:val="00824B7A"/>
    <w:rsid w:val="0082741D"/>
    <w:rsid w:val="0083413A"/>
    <w:rsid w:val="00845392"/>
    <w:rsid w:val="00856472"/>
    <w:rsid w:val="00870F93"/>
    <w:rsid w:val="008761A4"/>
    <w:rsid w:val="00883102"/>
    <w:rsid w:val="0088355F"/>
    <w:rsid w:val="0089166D"/>
    <w:rsid w:val="008B335D"/>
    <w:rsid w:val="008B7729"/>
    <w:rsid w:val="008B7D01"/>
    <w:rsid w:val="008C2ADC"/>
    <w:rsid w:val="008D20EB"/>
    <w:rsid w:val="008E5E9B"/>
    <w:rsid w:val="008F056B"/>
    <w:rsid w:val="008F2B82"/>
    <w:rsid w:val="008F4C54"/>
    <w:rsid w:val="008F7846"/>
    <w:rsid w:val="00900314"/>
    <w:rsid w:val="00905B87"/>
    <w:rsid w:val="00905FEC"/>
    <w:rsid w:val="009136E9"/>
    <w:rsid w:val="00920FAA"/>
    <w:rsid w:val="00950539"/>
    <w:rsid w:val="00950652"/>
    <w:rsid w:val="00950749"/>
    <w:rsid w:val="00950EB9"/>
    <w:rsid w:val="00951ECE"/>
    <w:rsid w:val="009573AC"/>
    <w:rsid w:val="009644E5"/>
    <w:rsid w:val="00971FAB"/>
    <w:rsid w:val="009826B4"/>
    <w:rsid w:val="009A0688"/>
    <w:rsid w:val="009A430C"/>
    <w:rsid w:val="009A4DB6"/>
    <w:rsid w:val="009A4E46"/>
    <w:rsid w:val="009B314B"/>
    <w:rsid w:val="009B6F36"/>
    <w:rsid w:val="009C21DB"/>
    <w:rsid w:val="009D1022"/>
    <w:rsid w:val="009D47E9"/>
    <w:rsid w:val="009E7F4C"/>
    <w:rsid w:val="009F01FE"/>
    <w:rsid w:val="009F16FF"/>
    <w:rsid w:val="00A01FB1"/>
    <w:rsid w:val="00A03617"/>
    <w:rsid w:val="00A12AD7"/>
    <w:rsid w:val="00A1649E"/>
    <w:rsid w:val="00A233A3"/>
    <w:rsid w:val="00A5737B"/>
    <w:rsid w:val="00A640BF"/>
    <w:rsid w:val="00A66471"/>
    <w:rsid w:val="00A67457"/>
    <w:rsid w:val="00A67F71"/>
    <w:rsid w:val="00A70CF0"/>
    <w:rsid w:val="00A716A7"/>
    <w:rsid w:val="00A766C4"/>
    <w:rsid w:val="00A81AE5"/>
    <w:rsid w:val="00A873F1"/>
    <w:rsid w:val="00A9147D"/>
    <w:rsid w:val="00A9387F"/>
    <w:rsid w:val="00A94136"/>
    <w:rsid w:val="00A962EF"/>
    <w:rsid w:val="00A97198"/>
    <w:rsid w:val="00AA4325"/>
    <w:rsid w:val="00AE0879"/>
    <w:rsid w:val="00AE26B2"/>
    <w:rsid w:val="00AE7848"/>
    <w:rsid w:val="00AF588A"/>
    <w:rsid w:val="00AF62B1"/>
    <w:rsid w:val="00B012B3"/>
    <w:rsid w:val="00B05E17"/>
    <w:rsid w:val="00B06369"/>
    <w:rsid w:val="00B15540"/>
    <w:rsid w:val="00B15843"/>
    <w:rsid w:val="00B16289"/>
    <w:rsid w:val="00B23B7B"/>
    <w:rsid w:val="00B262A9"/>
    <w:rsid w:val="00B264C9"/>
    <w:rsid w:val="00B33D79"/>
    <w:rsid w:val="00B416B9"/>
    <w:rsid w:val="00B52B0E"/>
    <w:rsid w:val="00B53DEC"/>
    <w:rsid w:val="00B64E55"/>
    <w:rsid w:val="00B66FEC"/>
    <w:rsid w:val="00B74F7F"/>
    <w:rsid w:val="00B87646"/>
    <w:rsid w:val="00B975F7"/>
    <w:rsid w:val="00BA748B"/>
    <w:rsid w:val="00BB141A"/>
    <w:rsid w:val="00BC7840"/>
    <w:rsid w:val="00BD32F1"/>
    <w:rsid w:val="00BD3B03"/>
    <w:rsid w:val="00BE1EAE"/>
    <w:rsid w:val="00BE2B0A"/>
    <w:rsid w:val="00BE3ECA"/>
    <w:rsid w:val="00C03CEC"/>
    <w:rsid w:val="00C240ED"/>
    <w:rsid w:val="00C2620C"/>
    <w:rsid w:val="00C37901"/>
    <w:rsid w:val="00C4117A"/>
    <w:rsid w:val="00C43CB8"/>
    <w:rsid w:val="00C523A0"/>
    <w:rsid w:val="00C524B8"/>
    <w:rsid w:val="00C5294A"/>
    <w:rsid w:val="00C52C10"/>
    <w:rsid w:val="00C607D0"/>
    <w:rsid w:val="00C64C99"/>
    <w:rsid w:val="00C650C3"/>
    <w:rsid w:val="00C66709"/>
    <w:rsid w:val="00C70431"/>
    <w:rsid w:val="00C70982"/>
    <w:rsid w:val="00C74224"/>
    <w:rsid w:val="00C81672"/>
    <w:rsid w:val="00C9099C"/>
    <w:rsid w:val="00CA26E6"/>
    <w:rsid w:val="00CA3F43"/>
    <w:rsid w:val="00CA474C"/>
    <w:rsid w:val="00CB26FC"/>
    <w:rsid w:val="00CB50E9"/>
    <w:rsid w:val="00CC3433"/>
    <w:rsid w:val="00CC3C01"/>
    <w:rsid w:val="00CF1F26"/>
    <w:rsid w:val="00CF26AB"/>
    <w:rsid w:val="00CF2FCD"/>
    <w:rsid w:val="00D01B8C"/>
    <w:rsid w:val="00D03255"/>
    <w:rsid w:val="00D12EAF"/>
    <w:rsid w:val="00D15C4A"/>
    <w:rsid w:val="00D27A07"/>
    <w:rsid w:val="00D45778"/>
    <w:rsid w:val="00D54AD6"/>
    <w:rsid w:val="00D55637"/>
    <w:rsid w:val="00D56006"/>
    <w:rsid w:val="00D65017"/>
    <w:rsid w:val="00D76385"/>
    <w:rsid w:val="00D7747A"/>
    <w:rsid w:val="00D80CAA"/>
    <w:rsid w:val="00D82348"/>
    <w:rsid w:val="00D866D1"/>
    <w:rsid w:val="00DA02DD"/>
    <w:rsid w:val="00DA553B"/>
    <w:rsid w:val="00DA71A8"/>
    <w:rsid w:val="00DB1586"/>
    <w:rsid w:val="00DB2E74"/>
    <w:rsid w:val="00DC1040"/>
    <w:rsid w:val="00DC1C42"/>
    <w:rsid w:val="00DC257D"/>
    <w:rsid w:val="00DC29E7"/>
    <w:rsid w:val="00DC6E47"/>
    <w:rsid w:val="00DC7EE3"/>
    <w:rsid w:val="00DE0DE1"/>
    <w:rsid w:val="00DF0B49"/>
    <w:rsid w:val="00E0025D"/>
    <w:rsid w:val="00E015E1"/>
    <w:rsid w:val="00E02D29"/>
    <w:rsid w:val="00E07DB1"/>
    <w:rsid w:val="00E14C1D"/>
    <w:rsid w:val="00E170D7"/>
    <w:rsid w:val="00E20BFE"/>
    <w:rsid w:val="00E27383"/>
    <w:rsid w:val="00E30F78"/>
    <w:rsid w:val="00E311CF"/>
    <w:rsid w:val="00E417DC"/>
    <w:rsid w:val="00E52E78"/>
    <w:rsid w:val="00E71A6C"/>
    <w:rsid w:val="00E724AC"/>
    <w:rsid w:val="00E81B85"/>
    <w:rsid w:val="00E81E33"/>
    <w:rsid w:val="00E81F74"/>
    <w:rsid w:val="00E9328B"/>
    <w:rsid w:val="00EA0A7B"/>
    <w:rsid w:val="00EA6233"/>
    <w:rsid w:val="00EA793A"/>
    <w:rsid w:val="00EB352D"/>
    <w:rsid w:val="00EC3CA6"/>
    <w:rsid w:val="00EC50C2"/>
    <w:rsid w:val="00EC7376"/>
    <w:rsid w:val="00EC7A83"/>
    <w:rsid w:val="00ED3632"/>
    <w:rsid w:val="00EE28DB"/>
    <w:rsid w:val="00EE6C55"/>
    <w:rsid w:val="00EF35B8"/>
    <w:rsid w:val="00EF6CE8"/>
    <w:rsid w:val="00F168E9"/>
    <w:rsid w:val="00F210CE"/>
    <w:rsid w:val="00F3167C"/>
    <w:rsid w:val="00F31FAA"/>
    <w:rsid w:val="00F55DF5"/>
    <w:rsid w:val="00F57049"/>
    <w:rsid w:val="00F66F46"/>
    <w:rsid w:val="00F70EDD"/>
    <w:rsid w:val="00F7411E"/>
    <w:rsid w:val="00F8641F"/>
    <w:rsid w:val="00F865DD"/>
    <w:rsid w:val="00F869FC"/>
    <w:rsid w:val="00F97004"/>
    <w:rsid w:val="00F97923"/>
    <w:rsid w:val="00FA30FF"/>
    <w:rsid w:val="00FA47DD"/>
    <w:rsid w:val="00FA5602"/>
    <w:rsid w:val="00FB19CA"/>
    <w:rsid w:val="00FD61B7"/>
    <w:rsid w:val="00FE0E4D"/>
    <w:rsid w:val="00FF538C"/>
    <w:rsid w:val="058D6084"/>
    <w:rsid w:val="05C86A1C"/>
    <w:rsid w:val="0960344D"/>
    <w:rsid w:val="096D1193"/>
    <w:rsid w:val="0CB82C8F"/>
    <w:rsid w:val="0D284B58"/>
    <w:rsid w:val="0D584ACF"/>
    <w:rsid w:val="0E7A61FC"/>
    <w:rsid w:val="10181EF0"/>
    <w:rsid w:val="12C70D24"/>
    <w:rsid w:val="17694DE9"/>
    <w:rsid w:val="1AF5570C"/>
    <w:rsid w:val="1B3436D7"/>
    <w:rsid w:val="1C3C3C95"/>
    <w:rsid w:val="1C6A2CF5"/>
    <w:rsid w:val="1D286209"/>
    <w:rsid w:val="1D96036B"/>
    <w:rsid w:val="1EB91609"/>
    <w:rsid w:val="20082F8A"/>
    <w:rsid w:val="22635651"/>
    <w:rsid w:val="26C7293D"/>
    <w:rsid w:val="2C8D7453"/>
    <w:rsid w:val="30B72C70"/>
    <w:rsid w:val="325E09F7"/>
    <w:rsid w:val="32B15DE9"/>
    <w:rsid w:val="32FC298A"/>
    <w:rsid w:val="33ED69D8"/>
    <w:rsid w:val="34A06FDF"/>
    <w:rsid w:val="35E825E5"/>
    <w:rsid w:val="363A4534"/>
    <w:rsid w:val="3816521D"/>
    <w:rsid w:val="397219F3"/>
    <w:rsid w:val="3A151651"/>
    <w:rsid w:val="3B0F4A99"/>
    <w:rsid w:val="3BFD021B"/>
    <w:rsid w:val="3E856F1F"/>
    <w:rsid w:val="3F61699F"/>
    <w:rsid w:val="3FCA55F0"/>
    <w:rsid w:val="41A17643"/>
    <w:rsid w:val="428018A2"/>
    <w:rsid w:val="448C55C7"/>
    <w:rsid w:val="45652EE4"/>
    <w:rsid w:val="45824243"/>
    <w:rsid w:val="465B773D"/>
    <w:rsid w:val="49175A48"/>
    <w:rsid w:val="4A5C7CC4"/>
    <w:rsid w:val="4C5F3BFD"/>
    <w:rsid w:val="4CBC435C"/>
    <w:rsid w:val="4D0C5859"/>
    <w:rsid w:val="4FA42C81"/>
    <w:rsid w:val="52E314EA"/>
    <w:rsid w:val="531002BD"/>
    <w:rsid w:val="532F30EC"/>
    <w:rsid w:val="533057E5"/>
    <w:rsid w:val="56B5746B"/>
    <w:rsid w:val="59D67EF0"/>
    <w:rsid w:val="5F28616C"/>
    <w:rsid w:val="626C003F"/>
    <w:rsid w:val="627F1544"/>
    <w:rsid w:val="63176757"/>
    <w:rsid w:val="633C35A7"/>
    <w:rsid w:val="637E1179"/>
    <w:rsid w:val="64951EED"/>
    <w:rsid w:val="64E456AD"/>
    <w:rsid w:val="67421678"/>
    <w:rsid w:val="684A2231"/>
    <w:rsid w:val="684E5A28"/>
    <w:rsid w:val="68D8333E"/>
    <w:rsid w:val="69075AAE"/>
    <w:rsid w:val="69DB20E3"/>
    <w:rsid w:val="6A7E1A08"/>
    <w:rsid w:val="6C9B148C"/>
    <w:rsid w:val="6D74306A"/>
    <w:rsid w:val="6DA35182"/>
    <w:rsid w:val="6F5C20A1"/>
    <w:rsid w:val="70A967C1"/>
    <w:rsid w:val="70D41464"/>
    <w:rsid w:val="712E063C"/>
    <w:rsid w:val="71315B24"/>
    <w:rsid w:val="713F0604"/>
    <w:rsid w:val="72F804E9"/>
    <w:rsid w:val="7B96630A"/>
    <w:rsid w:val="7BE22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firstLine="200" w:firstLineChars="200"/>
      <w:jc w:val="both"/>
    </w:pPr>
    <w:rPr>
      <w:rFonts w:ascii="Times New Roman" w:hAnsi="Times New Roman" w:eastAsia="方正仿宋_GBK" w:cs="Times New Roman"/>
      <w:kern w:val="2"/>
      <w:sz w:val="32"/>
      <w:szCs w:val="22"/>
      <w:lang w:val="en-US" w:eastAsia="zh-CN" w:bidi="ar-SA"/>
    </w:rPr>
  </w:style>
  <w:style w:type="paragraph" w:styleId="2">
    <w:name w:val="heading 1"/>
    <w:basedOn w:val="1"/>
    <w:next w:val="1"/>
    <w:link w:val="32"/>
    <w:autoRedefine/>
    <w:qFormat/>
    <w:uiPriority w:val="9"/>
    <w:pPr>
      <w:keepNext/>
      <w:keepLines/>
      <w:ind w:firstLine="0" w:firstLineChars="0"/>
      <w:jc w:val="center"/>
      <w:outlineLvl w:val="0"/>
    </w:pPr>
    <w:rPr>
      <w:rFonts w:eastAsia="方正黑体_GBK"/>
      <w:bCs/>
      <w:kern w:val="44"/>
      <w:szCs w:val="44"/>
    </w:rPr>
  </w:style>
  <w:style w:type="paragraph" w:styleId="3">
    <w:name w:val="heading 2"/>
    <w:basedOn w:val="1"/>
    <w:next w:val="1"/>
    <w:link w:val="33"/>
    <w:autoRedefine/>
    <w:qFormat/>
    <w:uiPriority w:val="9"/>
    <w:pPr>
      <w:keepNext/>
      <w:keepLines/>
      <w:ind w:firstLine="0" w:firstLineChars="0"/>
      <w:jc w:val="center"/>
      <w:outlineLvl w:val="1"/>
    </w:pPr>
    <w:rPr>
      <w:rFonts w:ascii="Cambria" w:hAnsi="Cambria" w:eastAsia="方正楷体_GBK"/>
      <w:b/>
      <w:bCs/>
      <w:szCs w:val="32"/>
    </w:rPr>
  </w:style>
  <w:style w:type="paragraph" w:styleId="4">
    <w:name w:val="heading 3"/>
    <w:basedOn w:val="1"/>
    <w:next w:val="1"/>
    <w:link w:val="34"/>
    <w:autoRedefine/>
    <w:unhideWhenUsed/>
    <w:qFormat/>
    <w:uiPriority w:val="9"/>
    <w:pPr>
      <w:keepNext/>
      <w:keepLines/>
      <w:outlineLvl w:val="2"/>
    </w:pPr>
    <w:rPr>
      <w:b/>
      <w:bCs/>
      <w:szCs w:val="32"/>
    </w:rPr>
  </w:style>
  <w:style w:type="paragraph" w:styleId="5">
    <w:name w:val="heading 4"/>
    <w:basedOn w:val="1"/>
    <w:next w:val="1"/>
    <w:link w:val="35"/>
    <w:autoRedefine/>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cstheme="minorBidi"/>
      <w:sz w:val="21"/>
    </w:rPr>
  </w:style>
  <w:style w:type="paragraph" w:styleId="7">
    <w:name w:val="annotation text"/>
    <w:basedOn w:val="1"/>
    <w:link w:val="42"/>
    <w:autoRedefine/>
    <w:semiHidden/>
    <w:unhideWhenUsed/>
    <w:qFormat/>
    <w:uiPriority w:val="99"/>
    <w:pPr>
      <w:jc w:val="left"/>
    </w:pPr>
  </w:style>
  <w:style w:type="paragraph" w:styleId="8">
    <w:name w:val="Body Text"/>
    <w:basedOn w:val="1"/>
    <w:next w:val="1"/>
    <w:link w:val="51"/>
    <w:autoRedefine/>
    <w:unhideWhenUsed/>
    <w:qFormat/>
    <w:uiPriority w:val="99"/>
    <w:pPr>
      <w:spacing w:before="100" w:beforeAutospacing="1" w:after="100" w:afterAutospacing="1" w:line="240" w:lineRule="auto"/>
      <w:ind w:left="233" w:firstLine="0" w:firstLineChars="0"/>
    </w:pPr>
    <w:rPr>
      <w:rFonts w:ascii="宋体" w:hAnsi="宋体" w:eastAsia="宋体" w:cs="宋体"/>
      <w:szCs w:val="32"/>
    </w:rPr>
  </w:style>
  <w:style w:type="paragraph" w:styleId="9">
    <w:name w:val="toc 5"/>
    <w:basedOn w:val="1"/>
    <w:next w:val="1"/>
    <w:autoRedefine/>
    <w:unhideWhenUsed/>
    <w:qFormat/>
    <w:uiPriority w:val="39"/>
    <w:pPr>
      <w:spacing w:line="240" w:lineRule="auto"/>
      <w:ind w:left="1680" w:leftChars="800" w:firstLine="0" w:firstLineChars="0"/>
    </w:pPr>
    <w:rPr>
      <w:rFonts w:asciiTheme="minorHAnsi" w:hAnsiTheme="minorHAnsi" w:eastAsiaTheme="minorEastAsia" w:cstheme="minorBidi"/>
      <w:sz w:val="21"/>
    </w:rPr>
  </w:style>
  <w:style w:type="paragraph" w:styleId="10">
    <w:name w:val="toc 3"/>
    <w:basedOn w:val="1"/>
    <w:next w:val="1"/>
    <w:autoRedefine/>
    <w:unhideWhenUsed/>
    <w:qFormat/>
    <w:uiPriority w:val="39"/>
    <w:pPr>
      <w:ind w:left="840" w:leftChars="400"/>
    </w:pPr>
  </w:style>
  <w:style w:type="paragraph" w:styleId="11">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cstheme="minorBidi"/>
      <w:sz w:val="21"/>
    </w:rPr>
  </w:style>
  <w:style w:type="paragraph" w:styleId="12">
    <w:name w:val="Balloon Text"/>
    <w:basedOn w:val="1"/>
    <w:link w:val="53"/>
    <w:autoRedefine/>
    <w:semiHidden/>
    <w:unhideWhenUsed/>
    <w:qFormat/>
    <w:uiPriority w:val="99"/>
    <w:pPr>
      <w:spacing w:line="240" w:lineRule="auto"/>
    </w:pPr>
    <w:rPr>
      <w:sz w:val="18"/>
      <w:szCs w:val="18"/>
    </w:rPr>
  </w:style>
  <w:style w:type="paragraph" w:styleId="13">
    <w:name w:val="footer"/>
    <w:basedOn w:val="1"/>
    <w:link w:val="30"/>
    <w:autoRedefine/>
    <w:unhideWhenUsed/>
    <w:qFormat/>
    <w:uiPriority w:val="99"/>
    <w:pPr>
      <w:tabs>
        <w:tab w:val="center" w:pos="4153"/>
        <w:tab w:val="right" w:pos="8306"/>
      </w:tabs>
      <w:snapToGrid w:val="0"/>
      <w:jc w:val="left"/>
    </w:pPr>
    <w:rPr>
      <w:kern w:val="0"/>
      <w:sz w:val="18"/>
      <w:szCs w:val="18"/>
    </w:rPr>
  </w:style>
  <w:style w:type="paragraph" w:styleId="14">
    <w:name w:val="header"/>
    <w:basedOn w:val="1"/>
    <w:link w:val="31"/>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autoRedefine/>
    <w:unhideWhenUsed/>
    <w:qFormat/>
    <w:uiPriority w:val="39"/>
  </w:style>
  <w:style w:type="paragraph" w:styleId="16">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cstheme="minorBidi"/>
      <w:sz w:val="21"/>
    </w:rPr>
  </w:style>
  <w:style w:type="paragraph" w:styleId="17">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cstheme="minorBidi"/>
      <w:sz w:val="21"/>
    </w:rPr>
  </w:style>
  <w:style w:type="paragraph" w:styleId="18">
    <w:name w:val="toc 2"/>
    <w:basedOn w:val="1"/>
    <w:next w:val="1"/>
    <w:autoRedefine/>
    <w:unhideWhenUsed/>
    <w:qFormat/>
    <w:uiPriority w:val="39"/>
    <w:pPr>
      <w:tabs>
        <w:tab w:val="right" w:leader="dot" w:pos="8296"/>
      </w:tabs>
      <w:ind w:left="640" w:leftChars="200" w:firstLine="0" w:firstLineChars="0"/>
    </w:pPr>
    <w:rPr>
      <w:rFonts w:ascii="楷体_GB2312" w:eastAsia="楷体_GB2312"/>
      <w:spacing w:val="-4"/>
      <w:kern w:val="0"/>
      <w:szCs w:val="32"/>
    </w:rPr>
  </w:style>
  <w:style w:type="paragraph" w:styleId="19">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cstheme="minorBidi"/>
      <w:sz w:val="21"/>
    </w:rPr>
  </w:style>
  <w:style w:type="paragraph" w:styleId="20">
    <w:name w:val="Normal (Web)"/>
    <w:basedOn w:val="1"/>
    <w:autoRedefine/>
    <w:semiHidden/>
    <w:unhideWhenUsed/>
    <w:qFormat/>
    <w:uiPriority w:val="99"/>
    <w:pPr>
      <w:spacing w:beforeAutospacing="1" w:afterAutospacing="1"/>
      <w:jc w:val="left"/>
    </w:pPr>
    <w:rPr>
      <w:kern w:val="0"/>
      <w:sz w:val="24"/>
    </w:rPr>
  </w:style>
  <w:style w:type="paragraph" w:styleId="21">
    <w:name w:val="annotation subject"/>
    <w:basedOn w:val="7"/>
    <w:next w:val="7"/>
    <w:link w:val="43"/>
    <w:autoRedefine/>
    <w:semiHidden/>
    <w:unhideWhenUsed/>
    <w:qFormat/>
    <w:uiPriority w:val="99"/>
    <w:rPr>
      <w:b/>
      <w:bCs/>
    </w:rPr>
  </w:style>
  <w:style w:type="table" w:styleId="23">
    <w:name w:val="Table Grid"/>
    <w:basedOn w:val="22"/>
    <w:autoRedefine/>
    <w:qFormat/>
    <w:uiPriority w:val="59"/>
    <w:rPr>
      <w:rFonts w:eastAsia="仿宋_GB231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22"/>
    <w:rPr>
      <w:b/>
      <w:bCs/>
    </w:rPr>
  </w:style>
  <w:style w:type="character" w:styleId="26">
    <w:name w:val="Emphasis"/>
    <w:basedOn w:val="24"/>
    <w:autoRedefine/>
    <w:qFormat/>
    <w:uiPriority w:val="20"/>
    <w:rPr>
      <w:i/>
    </w:rPr>
  </w:style>
  <w:style w:type="character" w:styleId="27">
    <w:name w:val="Hyperlink"/>
    <w:autoRedefine/>
    <w:unhideWhenUsed/>
    <w:qFormat/>
    <w:uiPriority w:val="99"/>
    <w:rPr>
      <w:color w:val="0563C1"/>
      <w:u w:val="single"/>
    </w:rPr>
  </w:style>
  <w:style w:type="character" w:styleId="28">
    <w:name w:val="annotation reference"/>
    <w:basedOn w:val="24"/>
    <w:autoRedefine/>
    <w:semiHidden/>
    <w:unhideWhenUsed/>
    <w:qFormat/>
    <w:uiPriority w:val="99"/>
    <w:rPr>
      <w:sz w:val="21"/>
      <w:szCs w:val="21"/>
    </w:rPr>
  </w:style>
  <w:style w:type="paragraph" w:styleId="29">
    <w:name w:val="No Spacing"/>
    <w:autoRedefine/>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30">
    <w:name w:val="页脚 字符"/>
    <w:basedOn w:val="24"/>
    <w:link w:val="13"/>
    <w:autoRedefine/>
    <w:qFormat/>
    <w:uiPriority w:val="99"/>
    <w:rPr>
      <w:rFonts w:ascii="Times New Roman" w:hAnsi="Times New Roman" w:eastAsia="仿宋_GB2312" w:cs="Times New Roman"/>
      <w:kern w:val="0"/>
      <w:sz w:val="18"/>
      <w:szCs w:val="18"/>
    </w:rPr>
  </w:style>
  <w:style w:type="character" w:customStyle="1" w:styleId="31">
    <w:name w:val="页眉 字符"/>
    <w:basedOn w:val="24"/>
    <w:link w:val="14"/>
    <w:autoRedefine/>
    <w:qFormat/>
    <w:uiPriority w:val="99"/>
    <w:rPr>
      <w:rFonts w:ascii="Times New Roman" w:hAnsi="Times New Roman" w:eastAsia="仿宋_GB2312" w:cs="Times New Roman"/>
      <w:kern w:val="0"/>
      <w:sz w:val="18"/>
      <w:szCs w:val="18"/>
    </w:rPr>
  </w:style>
  <w:style w:type="character" w:customStyle="1" w:styleId="32">
    <w:name w:val="标题 1 字符"/>
    <w:basedOn w:val="24"/>
    <w:link w:val="2"/>
    <w:autoRedefine/>
    <w:qFormat/>
    <w:uiPriority w:val="9"/>
    <w:rPr>
      <w:rFonts w:eastAsia="方正黑体_GBK"/>
      <w:bCs/>
      <w:kern w:val="44"/>
      <w:sz w:val="32"/>
      <w:szCs w:val="44"/>
    </w:rPr>
  </w:style>
  <w:style w:type="character" w:customStyle="1" w:styleId="33">
    <w:name w:val="标题 2 字符"/>
    <w:basedOn w:val="24"/>
    <w:link w:val="3"/>
    <w:autoRedefine/>
    <w:qFormat/>
    <w:uiPriority w:val="9"/>
    <w:rPr>
      <w:rFonts w:ascii="Cambria" w:hAnsi="Cambria" w:eastAsia="方正楷体_GBK" w:cs="Times New Roman"/>
      <w:b/>
      <w:bCs/>
      <w:kern w:val="2"/>
      <w:sz w:val="32"/>
      <w:szCs w:val="32"/>
    </w:rPr>
  </w:style>
  <w:style w:type="character" w:customStyle="1" w:styleId="34">
    <w:name w:val="标题 3 字符"/>
    <w:basedOn w:val="24"/>
    <w:link w:val="4"/>
    <w:autoRedefine/>
    <w:qFormat/>
    <w:uiPriority w:val="9"/>
    <w:rPr>
      <w:rFonts w:eastAsia="方正仿宋_GBK"/>
      <w:b/>
      <w:bCs/>
      <w:kern w:val="2"/>
      <w:sz w:val="32"/>
      <w:szCs w:val="32"/>
    </w:rPr>
  </w:style>
  <w:style w:type="character" w:customStyle="1" w:styleId="35">
    <w:name w:val="标题 4 字符"/>
    <w:basedOn w:val="24"/>
    <w:link w:val="5"/>
    <w:autoRedefine/>
    <w:qFormat/>
    <w:uiPriority w:val="9"/>
    <w:rPr>
      <w:rFonts w:asciiTheme="majorHAnsi" w:hAnsiTheme="majorHAnsi" w:eastAsiaTheme="majorEastAsia" w:cstheme="majorBidi"/>
      <w:b/>
      <w:bCs/>
      <w:sz w:val="28"/>
      <w:szCs w:val="28"/>
    </w:rPr>
  </w:style>
  <w:style w:type="paragraph" w:styleId="36">
    <w:name w:val="List Paragraph"/>
    <w:basedOn w:val="1"/>
    <w:autoRedefine/>
    <w:qFormat/>
    <w:uiPriority w:val="34"/>
    <w:pPr>
      <w:ind w:firstLine="420"/>
    </w:pPr>
  </w:style>
  <w:style w:type="paragraph" w:customStyle="1" w:styleId="37">
    <w:name w:val="修订1"/>
    <w:autoRedefine/>
    <w:hidden/>
    <w:semiHidden/>
    <w:qFormat/>
    <w:uiPriority w:val="99"/>
    <w:rPr>
      <w:rFonts w:ascii="Times New Roman" w:hAnsi="Times New Roman" w:eastAsia="仿宋_GB2312" w:cs="Times New Roman"/>
      <w:kern w:val="2"/>
      <w:sz w:val="32"/>
      <w:szCs w:val="22"/>
      <w:lang w:val="en-US" w:eastAsia="zh-CN" w:bidi="ar-SA"/>
    </w:rPr>
  </w:style>
  <w:style w:type="table" w:customStyle="1" w:styleId="38">
    <w:name w:val="网格型1"/>
    <w:basedOn w:val="22"/>
    <w:autoRedefine/>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9">
    <w:name w:val="TOC 标题1"/>
    <w:basedOn w:val="2"/>
    <w:next w:val="1"/>
    <w:autoRedefine/>
    <w:unhideWhenUsed/>
    <w:qFormat/>
    <w:uiPriority w:val="39"/>
    <w:pPr>
      <w:widowControl/>
      <w:spacing w:before="240" w:line="259" w:lineRule="auto"/>
      <w:jc w:val="left"/>
      <w:outlineLvl w:val="9"/>
    </w:pPr>
    <w:rPr>
      <w:rFonts w:asciiTheme="majorHAnsi" w:hAnsiTheme="majorHAnsi" w:eastAsiaTheme="majorEastAsia" w:cstheme="majorBidi"/>
      <w:bCs w:val="0"/>
      <w:color w:val="2F5597" w:themeColor="accent1" w:themeShade="BF"/>
      <w:kern w:val="0"/>
      <w:szCs w:val="32"/>
    </w:rPr>
  </w:style>
  <w:style w:type="paragraph" w:customStyle="1" w:styleId="40">
    <w:name w:val="修订2"/>
    <w:autoRedefine/>
    <w:hidden/>
    <w:semiHidden/>
    <w:qFormat/>
    <w:uiPriority w:val="99"/>
    <w:rPr>
      <w:rFonts w:ascii="Times New Roman" w:hAnsi="Times New Roman" w:eastAsia="仿宋_GB2312" w:cs="Times New Roman"/>
      <w:kern w:val="2"/>
      <w:sz w:val="32"/>
      <w:szCs w:val="22"/>
      <w:lang w:val="en-US" w:eastAsia="zh-CN" w:bidi="ar-SA"/>
    </w:rPr>
  </w:style>
  <w:style w:type="paragraph" w:customStyle="1" w:styleId="41">
    <w:name w:val="修订3"/>
    <w:autoRedefine/>
    <w:hidden/>
    <w:semiHidden/>
    <w:qFormat/>
    <w:uiPriority w:val="99"/>
    <w:rPr>
      <w:rFonts w:ascii="Times New Roman" w:hAnsi="Times New Roman" w:eastAsia="方正仿宋_GBK" w:cs="Times New Roman"/>
      <w:kern w:val="2"/>
      <w:sz w:val="32"/>
      <w:szCs w:val="22"/>
      <w:lang w:val="en-US" w:eastAsia="zh-CN" w:bidi="ar-SA"/>
    </w:rPr>
  </w:style>
  <w:style w:type="character" w:customStyle="1" w:styleId="42">
    <w:name w:val="批注文字 字符"/>
    <w:basedOn w:val="24"/>
    <w:link w:val="7"/>
    <w:autoRedefine/>
    <w:semiHidden/>
    <w:qFormat/>
    <w:uiPriority w:val="99"/>
    <w:rPr>
      <w:rFonts w:eastAsia="方正仿宋_GBK"/>
      <w:kern w:val="2"/>
      <w:sz w:val="32"/>
      <w:szCs w:val="22"/>
    </w:rPr>
  </w:style>
  <w:style w:type="character" w:customStyle="1" w:styleId="43">
    <w:name w:val="批注主题 字符"/>
    <w:basedOn w:val="42"/>
    <w:link w:val="21"/>
    <w:autoRedefine/>
    <w:semiHidden/>
    <w:qFormat/>
    <w:uiPriority w:val="99"/>
    <w:rPr>
      <w:rFonts w:eastAsia="方正仿宋_GBK"/>
      <w:b/>
      <w:bCs/>
      <w:kern w:val="2"/>
      <w:sz w:val="32"/>
      <w:szCs w:val="22"/>
    </w:rPr>
  </w:style>
  <w:style w:type="character" w:customStyle="1" w:styleId="44">
    <w:name w:val="font11"/>
    <w:basedOn w:val="24"/>
    <w:autoRedefine/>
    <w:qFormat/>
    <w:uiPriority w:val="0"/>
    <w:rPr>
      <w:rFonts w:hint="default" w:ascii="Times New Roman" w:hAnsi="Times New Roman" w:cs="Times New Roman"/>
      <w:color w:val="000000"/>
      <w:sz w:val="22"/>
      <w:szCs w:val="22"/>
      <w:u w:val="none"/>
    </w:rPr>
  </w:style>
  <w:style w:type="character" w:customStyle="1" w:styleId="45">
    <w:name w:val="font21"/>
    <w:basedOn w:val="24"/>
    <w:autoRedefine/>
    <w:qFormat/>
    <w:uiPriority w:val="0"/>
    <w:rPr>
      <w:rFonts w:hint="eastAsia" w:ascii="方正仿宋_GBK" w:eastAsia="方正仿宋_GBK"/>
      <w:color w:val="000000"/>
      <w:sz w:val="22"/>
      <w:szCs w:val="22"/>
      <w:u w:val="none"/>
    </w:rPr>
  </w:style>
  <w:style w:type="character" w:customStyle="1" w:styleId="46">
    <w:name w:val="font51"/>
    <w:basedOn w:val="24"/>
    <w:autoRedefine/>
    <w:qFormat/>
    <w:uiPriority w:val="0"/>
    <w:rPr>
      <w:rFonts w:hint="eastAsia" w:ascii="宋体" w:hAnsi="宋体" w:eastAsia="宋体"/>
      <w:color w:val="000000"/>
      <w:sz w:val="22"/>
      <w:szCs w:val="22"/>
      <w:u w:val="none"/>
    </w:rPr>
  </w:style>
  <w:style w:type="character" w:customStyle="1" w:styleId="47">
    <w:name w:val="font41"/>
    <w:basedOn w:val="24"/>
    <w:autoRedefine/>
    <w:qFormat/>
    <w:uiPriority w:val="0"/>
    <w:rPr>
      <w:rFonts w:hint="default" w:ascii="Calibri" w:hAnsi="Calibri" w:cs="Calibri"/>
      <w:color w:val="000000"/>
      <w:sz w:val="22"/>
      <w:szCs w:val="22"/>
      <w:u w:val="none"/>
    </w:rPr>
  </w:style>
  <w:style w:type="character" w:customStyle="1" w:styleId="48">
    <w:name w:val="font61"/>
    <w:basedOn w:val="24"/>
    <w:autoRedefine/>
    <w:qFormat/>
    <w:uiPriority w:val="0"/>
    <w:rPr>
      <w:rFonts w:hint="eastAsia" w:ascii="仿宋_GB2312" w:eastAsia="仿宋_GB2312"/>
      <w:color w:val="000000"/>
      <w:sz w:val="22"/>
      <w:szCs w:val="22"/>
      <w:u w:val="none"/>
    </w:rPr>
  </w:style>
  <w:style w:type="character" w:customStyle="1" w:styleId="49">
    <w:name w:val="content-right_8zs40"/>
    <w:basedOn w:val="24"/>
    <w:autoRedefine/>
    <w:qFormat/>
    <w:uiPriority w:val="0"/>
  </w:style>
  <w:style w:type="character" w:customStyle="1" w:styleId="50">
    <w:name w:val="未处理的提及1"/>
    <w:basedOn w:val="24"/>
    <w:autoRedefine/>
    <w:semiHidden/>
    <w:unhideWhenUsed/>
    <w:qFormat/>
    <w:uiPriority w:val="99"/>
    <w:rPr>
      <w:color w:val="605E5C"/>
      <w:shd w:val="clear" w:color="auto" w:fill="E1DFDD"/>
    </w:rPr>
  </w:style>
  <w:style w:type="character" w:customStyle="1" w:styleId="51">
    <w:name w:val="正文文本 字符"/>
    <w:basedOn w:val="24"/>
    <w:link w:val="8"/>
    <w:autoRedefine/>
    <w:qFormat/>
    <w:uiPriority w:val="99"/>
    <w:rPr>
      <w:rFonts w:ascii="宋体" w:hAnsi="宋体" w:cs="宋体"/>
      <w:kern w:val="2"/>
      <w:sz w:val="32"/>
      <w:szCs w:val="32"/>
    </w:rPr>
  </w:style>
  <w:style w:type="paragraph" w:customStyle="1" w:styleId="52">
    <w:name w:val="修订4"/>
    <w:autoRedefine/>
    <w:hidden/>
    <w:unhideWhenUsed/>
    <w:qFormat/>
    <w:uiPriority w:val="99"/>
    <w:rPr>
      <w:rFonts w:ascii="Times New Roman" w:hAnsi="Times New Roman" w:eastAsia="方正仿宋_GBK" w:cs="Times New Roman"/>
      <w:kern w:val="2"/>
      <w:sz w:val="32"/>
      <w:szCs w:val="22"/>
      <w:lang w:val="en-US" w:eastAsia="zh-CN" w:bidi="ar-SA"/>
    </w:rPr>
  </w:style>
  <w:style w:type="character" w:customStyle="1" w:styleId="53">
    <w:name w:val="批注框文本 字符"/>
    <w:basedOn w:val="24"/>
    <w:link w:val="12"/>
    <w:autoRedefine/>
    <w:semiHidden/>
    <w:qFormat/>
    <w:uiPriority w:val="99"/>
    <w:rPr>
      <w:rFonts w:eastAsia="方正仿宋_GBK"/>
      <w:kern w:val="2"/>
      <w:sz w:val="18"/>
      <w:szCs w:val="18"/>
    </w:rPr>
  </w:style>
  <w:style w:type="paragraph" w:customStyle="1" w:styleId="54">
    <w:name w:val="修订5"/>
    <w:autoRedefine/>
    <w:hidden/>
    <w:unhideWhenUsed/>
    <w:qFormat/>
    <w:uiPriority w:val="99"/>
    <w:rPr>
      <w:rFonts w:ascii="Times New Roman" w:hAnsi="Times New Roman" w:eastAsia="方正仿宋_GBK" w:cs="Times New Roman"/>
      <w:kern w:val="2"/>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0341E-08B2-4015-BCDA-8CBD0E70D6A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86</Pages>
  <Words>34432</Words>
  <Characters>36123</Characters>
  <Lines>289</Lines>
  <Paragraphs>81</Paragraphs>
  <TotalTime>6</TotalTime>
  <ScaleCrop>false</ScaleCrop>
  <LinksUpToDate>false</LinksUpToDate>
  <CharactersWithSpaces>37142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2023-12-21T10:15:00Z</dcterms:created>
  <dc:creator>Administrator</dc:creator>
  <cp:lastModifiedBy>阿夏</cp:lastModifiedBy>
  <cp:lastPrinted>2023-12-28T01:29:00Z</cp:lastPrinted>
  <dcterms:modified xsi:type="dcterms:W3CDTF">2024-01-05T10:16:58Z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DCC5850D129F4D449008AF4D9B66DE98_13</vt:lpwstr>
  </property>
</Properties>
</file>